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特克斯县审计局部门单位整体支出绩效自评报告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部门单位名称（公章）：特克斯县审计局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年04月27日</w:t>
      </w:r>
    </w:p>
    <w:p>
      <w:pPr>
        <w:pStyle w:val="3"/>
        <w:spacing w:line="360" w:lineRule="auto"/>
        <w:rPr>
          <w:rFonts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6"/>
          <w:rFonts w:ascii="仿宋" w:hAnsi="仿宋" w:eastAsia="仿宋"/>
          <w:b/>
          <w:bCs/>
        </w:rPr>
      </w:pPr>
      <w:bookmarkStart w:id="2" w:name="_Toc70450290"/>
      <w:r>
        <w:rPr>
          <w:rStyle w:val="16"/>
          <w:rFonts w:hint="eastAsia" w:ascii="仿宋" w:hAnsi="仿宋" w:eastAsia="仿宋"/>
          <w:b/>
          <w:bCs/>
        </w:rPr>
        <w:t>（一）部门单位基本情况</w:t>
      </w:r>
      <w:bookmarkEnd w:id="2"/>
    </w:p>
    <w:p>
      <w:pPr>
        <w:pStyle w:val="5"/>
        <w:spacing w:line="360" w:lineRule="auto"/>
        <w:ind w:firstLine="562" w:firstLineChars="200"/>
        <w:rPr>
          <w:rStyle w:val="16"/>
          <w:rFonts w:ascii="仿宋" w:hAnsi="仿宋" w:eastAsia="仿宋"/>
          <w:b/>
          <w:bCs/>
        </w:rPr>
      </w:pPr>
      <w:bookmarkStart w:id="3" w:name="_Toc70450291"/>
      <w:r>
        <w:rPr>
          <w:rStyle w:val="16"/>
          <w:rFonts w:ascii="仿宋" w:hAnsi="仿宋" w:eastAsia="仿宋"/>
          <w:b/>
          <w:bCs/>
        </w:rPr>
        <w:t>1</w:t>
      </w:r>
      <w:r>
        <w:rPr>
          <w:rStyle w:val="16"/>
          <w:rFonts w:hint="eastAsia" w:ascii="仿宋" w:hAnsi="仿宋" w:eastAsia="仿宋"/>
          <w:b/>
          <w:bCs/>
        </w:rPr>
        <w:t>、主要职能</w:t>
      </w:r>
      <w:bookmarkEnd w:id="3"/>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 xml:space="preserve"> 1.坚持党对审计工作的集中统一领导，贯彻落实特克斯县委审计委员会作出的各项决策部署，协调督促有关方面落实特克斯县委审计委员会决定事项、工作部署和要求，研究提出工作建议。</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2.组织起草特克斯县审计监督发展规划、重大政策和改革方案。</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3.综合协调推进审计项目实施、审计结果运用、军民融合领域审计等审计监督重大事项，统筹推进审计地方性法规、政策制度等建设。</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4.提出年度特克斯县本级预算执行和其他财政收支情况审计报告，经特克斯县委审计委员会主任批准，提交特克斯县委审计委员会会议审议决定。</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5.完成县委政府交办的其他工作任务。</w:t>
      </w:r>
    </w:p>
    <w:p>
      <w:pPr>
        <w:pStyle w:val="5"/>
        <w:spacing w:line="360" w:lineRule="auto"/>
        <w:ind w:firstLine="562" w:firstLineChars="200"/>
        <w:rPr>
          <w:rStyle w:val="16"/>
          <w:rFonts w:ascii="仿宋" w:hAnsi="仿宋" w:eastAsia="仿宋"/>
          <w:b/>
          <w:bCs/>
        </w:rPr>
      </w:pPr>
      <w:bookmarkStart w:id="4" w:name="_Toc70450292"/>
      <w:r>
        <w:rPr>
          <w:rStyle w:val="16"/>
          <w:rFonts w:hint="eastAsia" w:ascii="仿宋" w:hAnsi="仿宋" w:eastAsia="仿宋"/>
          <w:b/>
          <w:bCs/>
        </w:rPr>
        <w:t>2、机构人员构成</w:t>
      </w:r>
      <w:bookmarkEnd w:id="4"/>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（1）组织机构设置：</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特克斯县审计局无下属预算单位，下设2个科室，分别是：综合科和审计业务科。</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（2）2021年特克斯县审计局实有在职人员为17人，其中：</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行政在职10人（上年10人），与上年一致；</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事业在职6人（上年2人）, 同比上年增加4人；</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机关工勤1人（上年1人），与上年一致；</w:t>
      </w:r>
    </w:p>
    <w:p>
      <w:pPr>
        <w:spacing w:line="360" w:lineRule="auto"/>
        <w:ind w:firstLine="544" w:firstLineChars="200"/>
        <w:rPr>
          <w:rStyle w:val="16"/>
          <w:rFonts w:ascii="仿宋_GB2312" w:hAnsi="楷体" w:eastAsia="仿宋_GB2312" w:cs="Times New Roman"/>
          <w:b w:val="0"/>
          <w:spacing w:val="-4"/>
          <w:sz w:val="28"/>
          <w:szCs w:val="28"/>
        </w:rPr>
      </w:pPr>
      <w:r>
        <w:rPr>
          <w:rStyle w:val="16"/>
          <w:rFonts w:hint="eastAsia" w:ascii="仿宋_GB2312" w:hAnsi="楷体" w:eastAsia="仿宋_GB2312" w:cs="Times New Roman"/>
          <w:b w:val="0"/>
          <w:spacing w:val="-4"/>
          <w:sz w:val="28"/>
          <w:szCs w:val="28"/>
        </w:rPr>
        <w:t>实有退休人员10人（上年9人）, 同比上年增加1人。</w:t>
      </w:r>
    </w:p>
    <w:p>
      <w:pPr>
        <w:pStyle w:val="5"/>
        <w:spacing w:line="360" w:lineRule="auto"/>
        <w:ind w:firstLine="562" w:firstLineChars="200"/>
        <w:rPr>
          <w:rStyle w:val="16"/>
          <w:rFonts w:ascii="仿宋" w:hAnsi="仿宋" w:eastAsia="仿宋"/>
          <w:b/>
          <w:bCs/>
        </w:rPr>
      </w:pPr>
      <w:bookmarkStart w:id="5" w:name="_Toc70450293"/>
      <w:r>
        <w:rPr>
          <w:rStyle w:val="16"/>
          <w:rFonts w:ascii="仿宋" w:hAnsi="仿宋" w:eastAsia="仿宋"/>
          <w:b/>
          <w:bCs/>
        </w:rPr>
        <w:t>3</w:t>
      </w:r>
      <w:r>
        <w:rPr>
          <w:rStyle w:val="16"/>
          <w:rFonts w:hint="eastAsia" w:ascii="仿宋" w:hAnsi="仿宋" w:eastAsia="仿宋"/>
          <w:b/>
          <w:bCs/>
        </w:rPr>
        <w:t>、重点工作计划</w:t>
      </w:r>
      <w:bookmarkEnd w:id="5"/>
    </w:p>
    <w:p>
      <w:pPr>
        <w:spacing w:line="360" w:lineRule="auto"/>
        <w:ind w:firstLine="544" w:firstLineChars="200"/>
        <w:rPr>
          <w:rStyle w:val="16"/>
          <w:rFonts w:ascii="仿宋_GB2312" w:hAnsi="楷体" w:eastAsia="仿宋_GB2312"/>
          <w:b w:val="0"/>
          <w:spacing w:val="-4"/>
          <w:sz w:val="28"/>
          <w:szCs w:val="28"/>
          <w:highlight w:val="none"/>
        </w:rPr>
      </w:pPr>
      <w:bookmarkStart w:id="6" w:name="_Toc70450294"/>
      <w:r>
        <w:rPr>
          <w:rStyle w:val="16"/>
          <w:rFonts w:hint="eastAsia" w:ascii="仿宋_GB2312" w:hAnsi="楷体" w:eastAsia="仿宋_GB2312"/>
          <w:b w:val="0"/>
          <w:spacing w:val="-4"/>
          <w:sz w:val="28"/>
          <w:szCs w:val="28"/>
          <w:highlight w:val="none"/>
        </w:rPr>
        <w:t>一、完成财政审计项目20个（包括“同级审”,财政专项资金审计,财务收支审计）。</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二、完成县委审计委员会审定的领导干部经济责任审计（含领导干部自然资源资产离任（任中）审计项目2个）项目3个。</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三、完成县委、县政府交办及自行安排的审计项目。</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四、严格执法程序，依法审计、实事求是、客观公正，出具审计结论。</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五、完成上级审计机关统一安排和组织的审计项目。</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六、加强审计信息化建设及日常维护。</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七、加强审计培训，提高审计队伍素质。</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八</w:t>
      </w:r>
      <w:r>
        <w:rPr>
          <w:rStyle w:val="16"/>
          <w:rFonts w:hint="eastAsia" w:ascii="仿宋_GB2312" w:hAnsi="楷体" w:eastAsia="仿宋_GB2312"/>
          <w:b w:val="0"/>
          <w:spacing w:val="-4"/>
          <w:sz w:val="28"/>
          <w:szCs w:val="28"/>
          <w:highlight w:val="none"/>
          <w:lang w:eastAsia="zh-CN"/>
        </w:rPr>
        <w:t>、</w:t>
      </w:r>
      <w:r>
        <w:rPr>
          <w:rStyle w:val="16"/>
          <w:rFonts w:hint="eastAsia" w:ascii="仿宋_GB2312" w:hAnsi="楷体" w:eastAsia="仿宋_GB2312"/>
          <w:b w:val="0"/>
          <w:spacing w:val="-4"/>
          <w:sz w:val="28"/>
          <w:szCs w:val="28"/>
          <w:highlight w:val="none"/>
        </w:rPr>
        <w:t>积极开展审计宣传，扩大审计影响力。</w:t>
      </w:r>
    </w:p>
    <w:p>
      <w:pPr>
        <w:spacing w:line="360" w:lineRule="auto"/>
        <w:ind w:firstLine="562" w:firstLineChars="200"/>
        <w:rPr>
          <w:rStyle w:val="16"/>
          <w:rFonts w:ascii="仿宋" w:hAnsi="仿宋" w:eastAsia="仿宋"/>
          <w:sz w:val="28"/>
          <w:szCs w:val="28"/>
        </w:rPr>
      </w:pPr>
      <w:r>
        <w:rPr>
          <w:rStyle w:val="16"/>
          <w:rFonts w:hint="eastAsia" w:ascii="仿宋" w:hAnsi="仿宋" w:eastAsia="仿宋"/>
          <w:sz w:val="28"/>
          <w:szCs w:val="28"/>
        </w:rPr>
        <w:t>（一）部门单位整体支出规模、</w:t>
      </w:r>
      <w:bookmarkStart w:id="7" w:name="_Hlk70339807"/>
      <w:r>
        <w:rPr>
          <w:rStyle w:val="16"/>
          <w:rFonts w:hint="eastAsia" w:ascii="仿宋" w:hAnsi="仿宋" w:eastAsia="仿宋"/>
          <w:sz w:val="28"/>
          <w:szCs w:val="28"/>
        </w:rPr>
        <w:t>使用方法和主要内容、涉及对象及范围等</w:t>
      </w:r>
      <w:bookmarkEnd w:id="6"/>
    </w:p>
    <w:bookmarkEnd w:id="7"/>
    <w:p>
      <w:pPr>
        <w:pStyle w:val="5"/>
        <w:spacing w:line="360" w:lineRule="auto"/>
        <w:ind w:firstLine="562" w:firstLineChars="200"/>
        <w:rPr>
          <w:rStyle w:val="16"/>
          <w:rFonts w:ascii="仿宋" w:hAnsi="仿宋" w:eastAsia="仿宋"/>
          <w:b/>
          <w:bCs/>
        </w:rPr>
      </w:pPr>
      <w:bookmarkStart w:id="8" w:name="_Toc70450295"/>
      <w:r>
        <w:rPr>
          <w:rStyle w:val="16"/>
          <w:rFonts w:hint="eastAsia" w:ascii="仿宋" w:hAnsi="仿宋" w:eastAsia="仿宋"/>
          <w:b/>
          <w:bCs/>
        </w:rPr>
        <w:t>1、部门单位整体支出规模</w:t>
      </w:r>
      <w:bookmarkEnd w:id="8"/>
    </w:p>
    <w:p>
      <w:pPr>
        <w:pStyle w:val="5"/>
        <w:spacing w:line="360" w:lineRule="auto"/>
        <w:ind w:firstLine="544" w:firstLineChars="200"/>
        <w:rPr>
          <w:rStyle w:val="16"/>
          <w:rFonts w:ascii="仿宋_GB2312" w:hAnsi="楷体" w:eastAsia="仿宋_GB2312"/>
          <w:b w:val="0"/>
          <w:bCs/>
          <w:spacing w:val="-4"/>
        </w:rPr>
      </w:pPr>
      <w:r>
        <w:rPr>
          <w:rStyle w:val="16"/>
          <w:rFonts w:hint="eastAsia" w:ascii="仿宋_GB2312" w:hAnsi="楷体" w:eastAsia="仿宋_GB2312"/>
          <w:b w:val="0"/>
          <w:bCs/>
          <w:spacing w:val="-4"/>
        </w:rPr>
        <w:t>2021年批复我单位预算为229.92万元，其中：财政拨款为229.92万元，年中追加90.33万元，调整率64.71%。对比上年217.80万元增加12.12万元，上升5.56%。</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2021年实际决算支出229.92万元，执行率100%，其中：</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基本支出229.92万元，占总支出的100％，主要用于本单位机构正常运转、完成日常工作任务而发生的各项支出。其中：工资福利支出212.41万元，主要用于在职和离退休人员基本工资、津贴补贴等人员经费。商品和服务支出11.</w:t>
      </w:r>
      <w:r>
        <w:rPr>
          <w:rStyle w:val="16"/>
          <w:rFonts w:ascii="仿宋_GB2312" w:hAnsi="楷体" w:eastAsia="仿宋_GB2312"/>
          <w:b w:val="0"/>
          <w:spacing w:val="-4"/>
          <w:sz w:val="28"/>
          <w:szCs w:val="28"/>
          <w:highlight w:val="none"/>
        </w:rPr>
        <w:t>8</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万元，主要用于办公费、印刷费、水电费、办公设备购置等。对个人和家庭的补助5.65万元。</w:t>
      </w:r>
    </w:p>
    <w:p>
      <w:pPr>
        <w:numPr>
          <w:ilvl w:val="0"/>
          <w:numId w:val="1"/>
        </w:num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项目支出</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万元，占总支出的</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楷体" w:eastAsia="仿宋_GB2312"/>
          <w:b w:val="0"/>
          <w:spacing w:val="-4"/>
          <w:sz w:val="28"/>
          <w:szCs w:val="28"/>
          <w:highlight w:val="none"/>
        </w:rPr>
        <w:t>（</w:t>
      </w:r>
      <w:r>
        <w:rPr>
          <w:rStyle w:val="16"/>
          <w:rFonts w:ascii="仿宋_GB2312" w:hAnsi="楷体" w:eastAsia="仿宋_GB2312"/>
          <w:b w:val="0"/>
          <w:spacing w:val="-4"/>
          <w:sz w:val="28"/>
          <w:szCs w:val="28"/>
          <w:highlight w:val="none"/>
        </w:rPr>
        <w:t>3</w:t>
      </w:r>
      <w:r>
        <w:rPr>
          <w:rStyle w:val="16"/>
          <w:rFonts w:hint="eastAsia" w:ascii="仿宋_GB2312" w:hAnsi="楷体" w:eastAsia="仿宋_GB2312"/>
          <w:b w:val="0"/>
          <w:spacing w:val="-4"/>
          <w:sz w:val="28"/>
          <w:szCs w:val="28"/>
          <w:highlight w:val="none"/>
        </w:rPr>
        <w:t>）本年度重点项目支出</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万元，重点支出保障率</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w:t>
      </w:r>
    </w:p>
    <w:p>
      <w:pPr>
        <w:spacing w:line="360" w:lineRule="auto"/>
        <w:ind w:firstLine="544" w:firstLineChars="200"/>
        <w:rPr>
          <w:rStyle w:val="16"/>
          <w:rFonts w:ascii="仿宋_GB2312" w:hAnsi="楷体" w:eastAsia="仿宋_GB2312"/>
          <w:b w:val="0"/>
          <w:spacing w:val="-4"/>
          <w:sz w:val="32"/>
          <w:szCs w:val="32"/>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4</w:t>
      </w:r>
      <w:r>
        <w:rPr>
          <w:rStyle w:val="16"/>
          <w:rFonts w:hint="eastAsia" w:ascii="仿宋_GB2312" w:hAnsi="楷体" w:eastAsia="仿宋_GB2312"/>
          <w:b w:val="0"/>
          <w:spacing w:val="-4"/>
          <w:sz w:val="28"/>
          <w:szCs w:val="28"/>
        </w:rPr>
        <w:t>）本年度我单位</w:t>
      </w:r>
      <w:r>
        <w:rPr>
          <w:rStyle w:val="16"/>
          <w:rFonts w:hint="eastAsia" w:ascii="仿宋_GB2312" w:hAnsi="楷体" w:eastAsia="仿宋_GB2312"/>
          <w:b w:val="0"/>
          <w:bCs w:val="0"/>
          <w:spacing w:val="-4"/>
          <w:sz w:val="28"/>
          <w:szCs w:val="28"/>
        </w:rPr>
        <w:t>无政府采购预算。</w:t>
      </w:r>
    </w:p>
    <w:p>
      <w:pPr>
        <w:pStyle w:val="5"/>
        <w:spacing w:line="360" w:lineRule="auto"/>
        <w:ind w:firstLine="562" w:firstLineChars="200"/>
        <w:rPr>
          <w:rStyle w:val="16"/>
          <w:rFonts w:ascii="仿宋" w:hAnsi="仿宋" w:eastAsia="仿宋"/>
          <w:b/>
          <w:bCs/>
        </w:rPr>
      </w:pPr>
      <w:bookmarkStart w:id="9" w:name="_Toc70450296"/>
      <w:r>
        <w:rPr>
          <w:rStyle w:val="16"/>
          <w:rFonts w:ascii="仿宋" w:hAnsi="仿宋" w:eastAsia="仿宋"/>
          <w:b/>
          <w:bCs/>
        </w:rPr>
        <w:t>2</w:t>
      </w:r>
      <w:r>
        <w:rPr>
          <w:rStyle w:val="16"/>
          <w:rFonts w:hint="eastAsia" w:ascii="仿宋" w:hAnsi="仿宋" w:eastAsia="仿宋"/>
          <w:b/>
          <w:bCs/>
        </w:rPr>
        <w:t>、整体支出评价使用方法和主要内容、涉及对象及范围等</w:t>
      </w:r>
      <w:bookmarkEnd w:id="9"/>
    </w:p>
    <w:p>
      <w:pPr>
        <w:spacing w:line="360" w:lineRule="auto"/>
        <w:ind w:firstLine="560" w:firstLineChars="200"/>
        <w:rPr>
          <w:rStyle w:val="16"/>
          <w:rFonts w:ascii="仿宋_GB2312" w:eastAsia="仿宋_GB2312"/>
          <w:b w:val="0"/>
          <w:bCs w:val="0"/>
          <w:sz w:val="28"/>
          <w:szCs w:val="36"/>
        </w:rPr>
      </w:pPr>
      <w:r>
        <w:rPr>
          <w:rFonts w:hint="eastAsia" w:ascii="仿宋_GB2312" w:eastAsia="仿宋_GB2312"/>
          <w:sz w:val="28"/>
          <w:szCs w:val="36"/>
        </w:rPr>
        <w:t>（1）</w:t>
      </w:r>
      <w:r>
        <w:rPr>
          <w:rStyle w:val="16"/>
          <w:rFonts w:hint="eastAsia" w:ascii="仿宋_GB2312" w:eastAsia="仿宋_GB2312"/>
          <w:b w:val="0"/>
          <w:bCs w:val="0"/>
          <w:sz w:val="28"/>
          <w:szCs w:val="36"/>
        </w:rPr>
        <w:t>整体支出评价使用方法</w:t>
      </w:r>
    </w:p>
    <w:p>
      <w:pPr>
        <w:spacing w:line="360" w:lineRule="auto"/>
        <w:ind w:firstLine="560" w:firstLineChars="200"/>
        <w:rPr>
          <w:rStyle w:val="16"/>
          <w:rFonts w:hint="eastAsia" w:ascii="仿宋_GB2312" w:eastAsia="仿宋_GB2312"/>
          <w:b w:val="0"/>
          <w:bCs w:val="0"/>
          <w:sz w:val="28"/>
          <w:szCs w:val="36"/>
          <w:highlight w:val="none"/>
        </w:rPr>
      </w:pPr>
      <w:r>
        <w:rPr>
          <w:rStyle w:val="16"/>
          <w:rFonts w:hint="eastAsia" w:ascii="仿宋_GB2312" w:eastAsia="仿宋_GB2312"/>
          <w:b w:val="0"/>
          <w:bCs w:val="0"/>
          <w:sz w:val="28"/>
          <w:szCs w:val="36"/>
          <w:highlight w:val="none"/>
        </w:rPr>
        <w:t>本次单位整体支出绩效自评采用成本效益分析方法，原因是：因此次评价是对我单位全年整体支出进行评价，可根据我单位年初的预期目标与最终实际完成指标进行对比，从而进行评价。</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（2）整体支出评价主要内容</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1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①</w:t>
      </w:r>
      <w:r>
        <w:rPr>
          <w:rFonts w:ascii="仿宋_GB2312" w:eastAsia="仿宋_GB2312"/>
          <w:sz w:val="28"/>
          <w:szCs w:val="36"/>
        </w:rPr>
        <w:fldChar w:fldCharType="end"/>
      </w:r>
      <w:r>
        <w:rPr>
          <w:rFonts w:hint="eastAsia" w:ascii="仿宋_GB2312" w:eastAsia="仿宋_GB2312"/>
          <w:sz w:val="28"/>
          <w:szCs w:val="36"/>
        </w:rPr>
        <w:t>绩效目标的设定情况。重点评价绩效目标设立的充分性、明确性、合理性以及细化程度。</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2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②</w:t>
      </w:r>
      <w:r>
        <w:rPr>
          <w:rFonts w:ascii="仿宋_GB2312" w:eastAsia="仿宋_GB2312"/>
          <w:sz w:val="28"/>
          <w:szCs w:val="36"/>
        </w:rPr>
        <w:fldChar w:fldCharType="end"/>
      </w:r>
      <w:r>
        <w:rPr>
          <w:rFonts w:hint="eastAsia" w:ascii="仿宋_GB2312" w:eastAsia="仿宋_GB2312"/>
          <w:sz w:val="28"/>
          <w:szCs w:val="36"/>
        </w:rPr>
        <w:t>资金投入和使用情况。重点评价资金分配过程、投入方式、资金到位、预算执行和结果。</w:t>
      </w:r>
    </w:p>
    <w:p>
      <w:pPr>
        <w:spacing w:line="360" w:lineRule="auto"/>
        <w:ind w:firstLine="560" w:firstLineChars="200"/>
        <w:rPr>
          <w:rFonts w:ascii="仿宋_GB2312" w:eastAsia="仿宋_GB2312"/>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3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③</w:t>
      </w:r>
      <w:r>
        <w:rPr>
          <w:rFonts w:ascii="仿宋_GB2312" w:eastAsia="仿宋_GB2312"/>
          <w:sz w:val="28"/>
          <w:szCs w:val="36"/>
        </w:rPr>
        <w:fldChar w:fldCharType="end"/>
      </w:r>
      <w:r>
        <w:rPr>
          <w:rFonts w:hint="eastAsia" w:ascii="仿宋_GB2312" w:eastAsia="仿宋_GB2312"/>
          <w:sz w:val="28"/>
          <w:szCs w:val="36"/>
        </w:rPr>
        <w:t>为实现绩效目标制定的制度、采取的措施等。包括项目管理制度、财务管理制度、资产管理制度和绩效跟踪管理措施等。</w:t>
      </w:r>
    </w:p>
    <w:p>
      <w:pPr>
        <w:spacing w:line="360" w:lineRule="auto"/>
        <w:ind w:firstLine="560" w:firstLineChars="200"/>
        <w:rPr>
          <w:rStyle w:val="16"/>
          <w:rFonts w:ascii="仿宋_GB2312" w:eastAsia="仿宋_GB2312"/>
          <w:b w:val="0"/>
          <w:bCs w:val="0"/>
          <w:sz w:val="28"/>
          <w:szCs w:val="36"/>
        </w:rPr>
      </w:pPr>
      <w:r>
        <w:rPr>
          <w:rFonts w:ascii="仿宋_GB2312" w:eastAsia="仿宋_GB2312"/>
          <w:sz w:val="28"/>
          <w:szCs w:val="36"/>
        </w:rPr>
        <w:fldChar w:fldCharType="begin"/>
      </w:r>
      <w:r>
        <w:rPr>
          <w:rFonts w:ascii="仿宋_GB2312" w:eastAsia="仿宋_GB2312"/>
          <w:sz w:val="28"/>
          <w:szCs w:val="36"/>
        </w:rPr>
        <w:instrText xml:space="preserve"> </w:instrText>
      </w:r>
      <w:r>
        <w:rPr>
          <w:rFonts w:hint="eastAsia" w:ascii="仿宋_GB2312" w:eastAsia="仿宋_GB2312"/>
          <w:sz w:val="28"/>
          <w:szCs w:val="36"/>
        </w:rPr>
        <w:instrText xml:space="preserve">= 4 \* GB3</w:instrText>
      </w:r>
      <w:r>
        <w:rPr>
          <w:rFonts w:ascii="仿宋_GB2312" w:eastAsia="仿宋_GB2312"/>
          <w:sz w:val="28"/>
          <w:szCs w:val="36"/>
        </w:rPr>
        <w:instrText xml:space="preserve"> </w:instrText>
      </w:r>
      <w:r>
        <w:rPr>
          <w:rFonts w:ascii="仿宋_GB2312" w:eastAsia="仿宋_GB2312"/>
          <w:sz w:val="28"/>
          <w:szCs w:val="36"/>
        </w:rPr>
        <w:fldChar w:fldCharType="separate"/>
      </w:r>
      <w:r>
        <w:rPr>
          <w:rFonts w:hint="eastAsia" w:ascii="仿宋_GB2312" w:eastAsia="仿宋_GB2312"/>
          <w:sz w:val="28"/>
          <w:szCs w:val="36"/>
        </w:rPr>
        <w:t>④</w:t>
      </w:r>
      <w:r>
        <w:rPr>
          <w:rFonts w:ascii="仿宋_GB2312" w:eastAsia="仿宋_GB2312"/>
          <w:sz w:val="28"/>
          <w:szCs w:val="36"/>
        </w:rPr>
        <w:fldChar w:fldCharType="end"/>
      </w:r>
      <w:r>
        <w:rPr>
          <w:rFonts w:hint="eastAsia" w:ascii="仿宋_GB2312" w:eastAsia="仿宋_GB2312"/>
          <w:sz w:val="28"/>
          <w:szCs w:val="36"/>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（3）整体支出评价涉及对象及范围</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涉及对象：</w:t>
      </w:r>
      <w:r>
        <w:rPr>
          <w:rFonts w:hint="eastAsia" w:ascii="仿宋_GB2312" w:eastAsia="仿宋_GB2312"/>
          <w:sz w:val="28"/>
          <w:szCs w:val="36"/>
        </w:rPr>
        <w:t>本次评价对象是特克斯县审计局所有财政资金支出活动。</w:t>
      </w:r>
    </w:p>
    <w:p>
      <w:pPr>
        <w:spacing w:line="360" w:lineRule="auto"/>
        <w:ind w:firstLine="560" w:firstLineChars="200"/>
        <w:rPr>
          <w:rStyle w:val="16"/>
          <w:rFonts w:ascii="仿宋_GB2312" w:eastAsia="仿宋_GB2312"/>
          <w:b w:val="0"/>
          <w:bCs w:val="0"/>
          <w:sz w:val="28"/>
          <w:szCs w:val="36"/>
        </w:rPr>
      </w:pPr>
      <w:r>
        <w:rPr>
          <w:rStyle w:val="16"/>
          <w:rFonts w:hint="eastAsia" w:ascii="仿宋_GB2312" w:eastAsia="仿宋_GB2312"/>
          <w:b w:val="0"/>
          <w:bCs w:val="0"/>
          <w:sz w:val="28"/>
          <w:szCs w:val="36"/>
        </w:rPr>
        <w:t>整体支出评价范围：</w:t>
      </w:r>
    </w:p>
    <w:p>
      <w:pPr>
        <w:spacing w:line="360" w:lineRule="auto"/>
        <w:ind w:firstLine="544" w:firstLineChars="200"/>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1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①</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基本支出229.92万元，其中：工资福利支出、商品和服务支出、对个人和家庭的补助支出。</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fldChar w:fldCharType="begin"/>
      </w:r>
      <w:r>
        <w:rPr>
          <w:rStyle w:val="16"/>
          <w:rFonts w:ascii="仿宋_GB2312" w:hAnsi="楷体" w:eastAsia="仿宋_GB2312"/>
          <w:b w:val="0"/>
          <w:spacing w:val="-4"/>
          <w:sz w:val="28"/>
          <w:szCs w:val="28"/>
        </w:rPr>
        <w:instrText xml:space="preserve"> </w:instrText>
      </w:r>
      <w:r>
        <w:rPr>
          <w:rStyle w:val="16"/>
          <w:rFonts w:hint="eastAsia" w:ascii="仿宋_GB2312" w:hAnsi="楷体" w:eastAsia="仿宋_GB2312"/>
          <w:b w:val="0"/>
          <w:spacing w:val="-4"/>
          <w:sz w:val="28"/>
          <w:szCs w:val="28"/>
        </w:rPr>
        <w:instrText xml:space="preserve">= 2 \* GB3</w:instrText>
      </w:r>
      <w:r>
        <w:rPr>
          <w:rStyle w:val="16"/>
          <w:rFonts w:ascii="仿宋_GB2312" w:hAnsi="楷体" w:eastAsia="仿宋_GB2312"/>
          <w:b w:val="0"/>
          <w:spacing w:val="-4"/>
          <w:sz w:val="28"/>
          <w:szCs w:val="28"/>
        </w:rPr>
        <w:instrText xml:space="preserve"> </w:instrText>
      </w:r>
      <w:r>
        <w:rPr>
          <w:rStyle w:val="16"/>
          <w:rFonts w:ascii="仿宋_GB2312" w:hAnsi="楷体" w:eastAsia="仿宋_GB2312"/>
          <w:b w:val="0"/>
          <w:spacing w:val="-4"/>
          <w:sz w:val="28"/>
          <w:szCs w:val="28"/>
        </w:rPr>
        <w:fldChar w:fldCharType="separate"/>
      </w:r>
      <w:r>
        <w:rPr>
          <w:rStyle w:val="16"/>
          <w:rFonts w:hint="eastAsia" w:ascii="仿宋_GB2312" w:hAnsi="楷体" w:eastAsia="仿宋_GB2312"/>
          <w:b w:val="0"/>
          <w:spacing w:val="-4"/>
          <w:sz w:val="28"/>
          <w:szCs w:val="28"/>
        </w:rPr>
        <w:t>②</w:t>
      </w:r>
      <w:r>
        <w:rPr>
          <w:rStyle w:val="16"/>
          <w:rFonts w:ascii="仿宋_GB2312" w:hAnsi="楷体" w:eastAsia="仿宋_GB2312"/>
          <w:b w:val="0"/>
          <w:spacing w:val="-4"/>
          <w:sz w:val="28"/>
          <w:szCs w:val="28"/>
        </w:rPr>
        <w:fldChar w:fldCharType="end"/>
      </w:r>
      <w:r>
        <w:rPr>
          <w:rStyle w:val="16"/>
          <w:rFonts w:hint="eastAsia" w:ascii="仿宋_GB2312" w:hAnsi="楷体" w:eastAsia="仿宋_GB2312"/>
          <w:b w:val="0"/>
          <w:spacing w:val="-4"/>
          <w:sz w:val="28"/>
          <w:szCs w:val="28"/>
        </w:rPr>
        <w:t>项目支出0万元：2021年无项目支出。</w:t>
      </w:r>
    </w:p>
    <w:p>
      <w:pPr>
        <w:pStyle w:val="3"/>
        <w:spacing w:line="360" w:lineRule="auto"/>
        <w:rPr>
          <w:rFonts w:ascii="仿宋" w:hAnsi="仿宋" w:eastAsia="仿宋"/>
          <w:sz w:val="36"/>
          <w:szCs w:val="36"/>
          <w:lang w:bidi="ar"/>
        </w:rPr>
      </w:pPr>
      <w:bookmarkStart w:id="10" w:name="_Toc70450297"/>
      <w:r>
        <w:rPr>
          <w:rFonts w:hint="eastAsia" w:ascii="仿宋" w:hAnsi="仿宋" w:eastAsia="仿宋"/>
          <w:sz w:val="36"/>
          <w:szCs w:val="36"/>
          <w:lang w:bidi="ar"/>
        </w:rPr>
        <w:t>二、部门单位整体支出管理及使用情况</w:t>
      </w:r>
      <w:bookmarkEnd w:id="10"/>
    </w:p>
    <w:p>
      <w:pPr>
        <w:pStyle w:val="4"/>
        <w:spacing w:line="360" w:lineRule="auto"/>
        <w:rPr>
          <w:rStyle w:val="16"/>
          <w:rFonts w:ascii="仿宋" w:hAnsi="仿宋" w:eastAsia="仿宋"/>
          <w:b/>
          <w:bCs/>
        </w:rPr>
      </w:pPr>
      <w:bookmarkStart w:id="11" w:name="_Toc70450298"/>
      <w:r>
        <w:rPr>
          <w:rStyle w:val="16"/>
          <w:rFonts w:hint="eastAsia" w:ascii="仿宋" w:hAnsi="仿宋" w:eastAsia="仿宋"/>
          <w:b/>
          <w:bCs/>
        </w:rPr>
        <w:t>（一）预算管理</w:t>
      </w:r>
      <w:bookmarkEnd w:id="11"/>
    </w:p>
    <w:p>
      <w:pPr>
        <w:pStyle w:val="5"/>
        <w:spacing w:line="360" w:lineRule="auto"/>
        <w:ind w:firstLine="562" w:firstLineChars="200"/>
        <w:rPr>
          <w:rStyle w:val="16"/>
          <w:rFonts w:ascii="仿宋" w:hAnsi="仿宋" w:eastAsia="仿宋"/>
          <w:b/>
          <w:bCs/>
        </w:rPr>
      </w:pPr>
      <w:bookmarkStart w:id="12" w:name="_Toc70450299"/>
      <w:r>
        <w:rPr>
          <w:rStyle w:val="16"/>
          <w:rFonts w:ascii="仿宋" w:hAnsi="仿宋" w:eastAsia="仿宋"/>
          <w:b/>
          <w:bCs/>
        </w:rPr>
        <w:t>1</w:t>
      </w:r>
      <w:r>
        <w:rPr>
          <w:rStyle w:val="16"/>
          <w:rFonts w:hint="eastAsia" w:ascii="仿宋" w:hAnsi="仿宋" w:eastAsia="仿宋"/>
          <w:b/>
          <w:bCs/>
        </w:rPr>
        <w:t>、预算编制管理</w:t>
      </w:r>
      <w:bookmarkEnd w:id="12"/>
    </w:p>
    <w:p>
      <w:pPr>
        <w:spacing w:line="360" w:lineRule="auto"/>
        <w:ind w:firstLine="506" w:firstLineChars="181"/>
        <w:rPr>
          <w:rFonts w:ascii="仿宋_GB2312" w:eastAsia="仿宋_GB2312"/>
          <w:sz w:val="28"/>
          <w:szCs w:val="36"/>
        </w:rPr>
      </w:pPr>
      <w:r>
        <w:rPr>
          <w:rFonts w:hint="eastAsia" w:ascii="仿宋_GB2312" w:eastAsia="仿宋_GB2312"/>
          <w:sz w:val="28"/>
          <w:szCs w:val="36"/>
        </w:rPr>
        <w:t>我单位严格按照财政部门预算编制与预算调整的工作要求，在预算编制、分配依据充分的条件下，切实做好“先定目标再编预算”，确保预算分配结果合理。同时按照县财政局要求，部门预算及绩效目标在政府网站公开，</w:t>
      </w:r>
      <w:r>
        <w:rPr>
          <w:rFonts w:hint="eastAsia" w:ascii="仿宋_GB2312" w:eastAsia="仿宋_GB2312"/>
          <w:sz w:val="28"/>
          <w:szCs w:val="36"/>
          <w:lang w:val="zh-CN"/>
        </w:rPr>
        <w:t>广泛接受社会监督</w:t>
      </w:r>
      <w:r>
        <w:rPr>
          <w:rFonts w:hint="eastAsia" w:ascii="仿宋_GB2312" w:eastAsia="仿宋_GB2312"/>
          <w:sz w:val="28"/>
          <w:szCs w:val="36"/>
        </w:rPr>
        <w:t>单位是否按照政府信息公开有关规定公开相关预决算信息，用以反映和考核单位预决算管理的公开透明情况。</w:t>
      </w:r>
    </w:p>
    <w:p>
      <w:pPr>
        <w:pStyle w:val="5"/>
        <w:spacing w:line="360" w:lineRule="auto"/>
        <w:ind w:firstLine="562" w:firstLineChars="200"/>
        <w:rPr>
          <w:rStyle w:val="16"/>
          <w:rFonts w:ascii="仿宋" w:hAnsi="仿宋" w:eastAsia="仿宋"/>
          <w:b/>
          <w:bCs/>
        </w:rPr>
      </w:pPr>
      <w:bookmarkStart w:id="13" w:name="_Toc70450300"/>
      <w:r>
        <w:rPr>
          <w:rStyle w:val="16"/>
          <w:rFonts w:hint="eastAsia" w:ascii="仿宋" w:hAnsi="仿宋" w:eastAsia="仿宋"/>
          <w:b/>
          <w:bCs/>
        </w:rPr>
        <w:t>2</w:t>
      </w:r>
      <w:r>
        <w:rPr>
          <w:rStyle w:val="16"/>
          <w:rFonts w:ascii="仿宋" w:hAnsi="仿宋" w:eastAsia="仿宋"/>
          <w:b/>
          <w:bCs/>
        </w:rPr>
        <w:t>、预算</w:t>
      </w:r>
      <w:r>
        <w:rPr>
          <w:rStyle w:val="16"/>
          <w:rFonts w:hint="eastAsia" w:ascii="仿宋" w:hAnsi="仿宋" w:eastAsia="仿宋"/>
          <w:b/>
          <w:bCs/>
        </w:rPr>
        <w:t>支出</w:t>
      </w:r>
      <w:r>
        <w:rPr>
          <w:rStyle w:val="16"/>
          <w:rFonts w:ascii="仿宋" w:hAnsi="仿宋" w:eastAsia="仿宋"/>
          <w:b/>
          <w:bCs/>
        </w:rPr>
        <w:t>管理</w:t>
      </w:r>
      <w:bookmarkEnd w:id="13"/>
    </w:p>
    <w:p>
      <w:pPr>
        <w:spacing w:line="360" w:lineRule="auto"/>
        <w:ind w:firstLine="560" w:firstLineChars="200"/>
        <w:rPr>
          <w:rStyle w:val="16"/>
          <w:b w:val="0"/>
          <w:bCs w:val="0"/>
        </w:rPr>
      </w:pPr>
      <w:r>
        <w:rPr>
          <w:rFonts w:hint="eastAsia" w:ascii="仿宋_GB2312" w:eastAsia="仿宋_GB2312"/>
          <w:sz w:val="28"/>
          <w:szCs w:val="36"/>
        </w:rPr>
        <w:t>我</w:t>
      </w:r>
      <w:r>
        <w:rPr>
          <w:rStyle w:val="16"/>
          <w:rFonts w:hint="eastAsia" w:ascii="仿宋_GB2312" w:hAnsi="楷体" w:eastAsia="仿宋_GB2312"/>
          <w:b w:val="0"/>
          <w:spacing w:val="-4"/>
          <w:sz w:val="28"/>
          <w:szCs w:val="28"/>
        </w:rPr>
        <w:t>单位</w:t>
      </w:r>
      <w:r>
        <w:rPr>
          <w:rFonts w:hint="eastAsia" w:ascii="仿宋_GB2312" w:eastAsia="仿宋_GB2312"/>
          <w:sz w:val="28"/>
          <w:szCs w:val="36"/>
        </w:rPr>
        <w:t>按照财政要求基本支出分月度申报资金使用计划，由财政部门按照进度每月按期拨付，人员支出按照工资计划发放工资；依照特克斯县审计局《财务制度》相关规定和特克斯县审计局《内部控制》规定流程，资金支出按照我内控体系中设定的流程申报审批进行；项目支出属于政府采购的，按照局特克斯县审计局《政府采购与招标管理办法》组织人员制定采购计划，按照财政局采购部门批复，进行公开招标、邀请招标等方式进行；属于非政府采购的项目，按照“三重一大”制度规定，重大项目支出上党组会研究决定。</w:t>
      </w:r>
    </w:p>
    <w:p>
      <w:pPr>
        <w:pStyle w:val="4"/>
        <w:spacing w:line="360" w:lineRule="auto"/>
        <w:ind w:firstLine="562" w:firstLineChars="200"/>
        <w:rPr>
          <w:rStyle w:val="16"/>
          <w:b/>
          <w:bCs/>
          <w:sz w:val="28"/>
          <w:szCs w:val="28"/>
        </w:rPr>
      </w:pPr>
      <w:bookmarkStart w:id="14" w:name="_Toc70450301"/>
      <w:r>
        <w:rPr>
          <w:rStyle w:val="16"/>
          <w:rFonts w:hint="eastAsia"/>
          <w:b/>
          <w:bCs/>
          <w:sz w:val="28"/>
          <w:szCs w:val="28"/>
        </w:rPr>
        <w:t>（一）基本支出管理及使用情况</w:t>
      </w:r>
      <w:bookmarkEnd w:id="14"/>
    </w:p>
    <w:p>
      <w:pPr>
        <w:spacing w:line="360" w:lineRule="auto"/>
        <w:ind w:firstLine="492" w:firstLineChars="181"/>
        <w:rPr>
          <w:rStyle w:val="16"/>
          <w:rFonts w:ascii="仿宋_GB2312" w:hAnsi="楷体" w:eastAsia="仿宋_GB2312"/>
          <w:b w:val="0"/>
          <w:spacing w:val="-4"/>
          <w:sz w:val="28"/>
          <w:szCs w:val="28"/>
          <w:highlight w:val="yellow"/>
        </w:rPr>
      </w:pPr>
      <w:r>
        <w:rPr>
          <w:rStyle w:val="16"/>
          <w:rFonts w:hint="eastAsia" w:ascii="仿宋_GB2312" w:hAnsi="楷体" w:eastAsia="仿宋_GB2312"/>
          <w:b w:val="0"/>
          <w:spacing w:val="-4"/>
          <w:sz w:val="28"/>
          <w:szCs w:val="28"/>
        </w:rPr>
        <w:t>2021年基本支出预算安排229.92万元，实际到位229.92万元,实际支出229.92万元，占总支出的100％，其中</w:t>
      </w:r>
      <w:r>
        <w:rPr>
          <w:rStyle w:val="16"/>
          <w:rFonts w:hint="eastAsia" w:ascii="仿宋_GB2312" w:hAnsi="楷体" w:eastAsia="仿宋_GB2312"/>
          <w:b w:val="0"/>
          <w:spacing w:val="-4"/>
          <w:sz w:val="28"/>
          <w:szCs w:val="28"/>
          <w:highlight w:val="none"/>
        </w:rPr>
        <w:t>：工资福利支出212.41万元、商品和服务支出11.</w:t>
      </w:r>
      <w:r>
        <w:rPr>
          <w:rStyle w:val="16"/>
          <w:rFonts w:ascii="仿宋_GB2312" w:hAnsi="楷体" w:eastAsia="仿宋_GB2312"/>
          <w:b w:val="0"/>
          <w:spacing w:val="-4"/>
          <w:sz w:val="28"/>
          <w:szCs w:val="28"/>
          <w:highlight w:val="none"/>
        </w:rPr>
        <w:t>8</w:t>
      </w:r>
      <w:r>
        <w:rPr>
          <w:rStyle w:val="16"/>
          <w:rFonts w:hint="eastAsia" w:ascii="仿宋_GB2312" w:hAnsi="楷体" w:eastAsia="仿宋_GB2312"/>
          <w:b w:val="0"/>
          <w:spacing w:val="-4"/>
          <w:sz w:val="28"/>
          <w:szCs w:val="28"/>
          <w:highlight w:val="none"/>
          <w:lang w:val="en-US" w:eastAsia="zh-CN"/>
        </w:rPr>
        <w:t>6</w:t>
      </w:r>
      <w:r>
        <w:rPr>
          <w:rStyle w:val="16"/>
          <w:rFonts w:hint="eastAsia" w:ascii="仿宋_GB2312" w:hAnsi="楷体" w:eastAsia="仿宋_GB2312"/>
          <w:b w:val="0"/>
          <w:spacing w:val="-4"/>
          <w:sz w:val="28"/>
          <w:szCs w:val="28"/>
          <w:highlight w:val="none"/>
        </w:rPr>
        <w:t>万元、对个人和家庭的补助5.65万元。</w:t>
      </w:r>
      <w:r>
        <w:rPr>
          <w:rStyle w:val="16"/>
          <w:rFonts w:hint="eastAsia" w:ascii="仿宋_GB2312" w:hAnsi="楷体" w:eastAsia="仿宋_GB2312"/>
          <w:b w:val="0"/>
          <w:spacing w:val="-4"/>
          <w:sz w:val="28"/>
          <w:szCs w:val="28"/>
        </w:rPr>
        <w:t>资本性支出0万元。</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2021年基本支出比上年217.80万元,增加12.12万元，上升5.56</w:t>
      </w:r>
      <w:r>
        <w:rPr>
          <w:rStyle w:val="16"/>
          <w:rFonts w:ascii="仿宋_GB2312" w:hAnsi="宋体" w:eastAsia="仿宋_GB2312"/>
          <w:b w:val="0"/>
          <w:bCs w:val="0"/>
          <w:spacing w:val="-4"/>
          <w:sz w:val="28"/>
          <w:szCs w:val="28"/>
        </w:rPr>
        <w:t>%</w:t>
      </w:r>
      <w:r>
        <w:rPr>
          <w:rStyle w:val="16"/>
          <w:rFonts w:hint="eastAsia" w:ascii="仿宋_GB2312" w:hAnsi="楷体" w:eastAsia="仿宋_GB2312"/>
          <w:b w:val="0"/>
          <w:spacing w:val="-4"/>
          <w:sz w:val="28"/>
          <w:szCs w:val="28"/>
        </w:rPr>
        <w:t>，支出上升的主要原因是</w:t>
      </w:r>
      <w:r>
        <w:rPr>
          <w:rFonts w:ascii="仿宋_GB2312" w:hAnsi="仿宋_GB2312" w:eastAsia="仿宋_GB2312" w:cs="仿宋_GB2312"/>
          <w:sz w:val="32"/>
          <w:szCs w:val="32"/>
        </w:rPr>
        <w:t>新招录人员及外出审计项目</w:t>
      </w:r>
      <w:r>
        <w:rPr>
          <w:rStyle w:val="16"/>
          <w:rFonts w:hint="eastAsia" w:ascii="仿宋_GB2312" w:hAnsi="楷体" w:eastAsia="仿宋_GB2312"/>
          <w:b w:val="0"/>
          <w:spacing w:val="-4"/>
          <w:sz w:val="28"/>
          <w:szCs w:val="28"/>
        </w:rPr>
        <w:t>。</w:t>
      </w:r>
    </w:p>
    <w:p>
      <w:pPr>
        <w:spacing w:line="360" w:lineRule="auto"/>
        <w:ind w:firstLine="492" w:firstLineChars="181"/>
        <w:rPr>
          <w:rStyle w:val="16"/>
          <w:rFonts w:ascii="仿宋_GB2312" w:hAnsi="楷体" w:eastAsia="仿宋_GB2312"/>
          <w:b w:val="0"/>
          <w:spacing w:val="-4"/>
          <w:sz w:val="28"/>
          <w:szCs w:val="28"/>
        </w:rPr>
      </w:pPr>
      <w:r>
        <w:rPr>
          <w:rStyle w:val="16"/>
          <w:rFonts w:ascii="仿宋_GB2312" w:hAnsi="楷体" w:eastAsia="仿宋_GB2312"/>
          <w:b w:val="0"/>
          <w:spacing w:val="-4"/>
          <w:sz w:val="28"/>
          <w:szCs w:val="28"/>
        </w:rPr>
        <w:t>2021</w:t>
      </w:r>
      <w:r>
        <w:rPr>
          <w:rStyle w:val="16"/>
          <w:rFonts w:hint="eastAsia" w:ascii="仿宋_GB2312" w:hAnsi="楷体" w:eastAsia="仿宋_GB2312"/>
          <w:b w:val="0"/>
          <w:spacing w:val="-4"/>
          <w:sz w:val="28"/>
          <w:szCs w:val="28"/>
        </w:rPr>
        <w:t>年一般公共预算“三公”经费数为0.8万元，其中：因公出国（境）费0万元，公务用车购置0万元，公务用车运行费0.8万元，公务接待费0万元。</w:t>
      </w:r>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年一般公共预算“三公”经费比上年减少1.18万元，其中：因公出国（境）费增加0万元；，主要原因是：未安排预算；公务用车购置费为0，主要原因是：</w:t>
      </w:r>
      <w:bookmarkStart w:id="15" w:name="_Hlk104391843"/>
      <w:r>
        <w:rPr>
          <w:rStyle w:val="16"/>
          <w:rFonts w:hint="eastAsia" w:ascii="仿宋_GB2312" w:hAnsi="楷体" w:eastAsia="仿宋_GB2312"/>
          <w:b w:val="0"/>
          <w:spacing w:val="-4"/>
          <w:sz w:val="28"/>
          <w:szCs w:val="28"/>
          <w:highlight w:val="none"/>
        </w:rPr>
        <w:t>未安排预算</w:t>
      </w:r>
      <w:bookmarkEnd w:id="15"/>
      <w:r>
        <w:rPr>
          <w:rStyle w:val="16"/>
          <w:rFonts w:hint="eastAsia" w:ascii="仿宋_GB2312" w:hAnsi="楷体" w:eastAsia="仿宋_GB2312"/>
          <w:b w:val="0"/>
          <w:spacing w:val="-4"/>
          <w:sz w:val="28"/>
          <w:szCs w:val="28"/>
          <w:highlight w:val="none"/>
        </w:rPr>
        <w:t>。公务用车运行费减少1.18万元，主要原因是车辆上年度进行了大修  ；公务接待费增加0万元，主要原因：是未安排预算。</w:t>
      </w:r>
    </w:p>
    <w:p>
      <w:pPr>
        <w:pStyle w:val="4"/>
        <w:numPr>
          <w:ilvl w:val="0"/>
          <w:numId w:val="2"/>
        </w:numPr>
        <w:spacing w:line="360" w:lineRule="auto"/>
        <w:rPr>
          <w:rStyle w:val="16"/>
          <w:rFonts w:ascii="仿宋" w:hAnsi="仿宋" w:eastAsia="仿宋"/>
          <w:b/>
          <w:bCs/>
        </w:rPr>
      </w:pPr>
      <w:bookmarkStart w:id="16" w:name="_Toc70450302"/>
      <w:r>
        <w:rPr>
          <w:rStyle w:val="16"/>
          <w:rFonts w:hint="eastAsia" w:ascii="仿宋" w:hAnsi="仿宋" w:eastAsia="仿宋"/>
          <w:b/>
          <w:bCs/>
        </w:rPr>
        <w:t>专项支出管理及使用情况</w:t>
      </w:r>
      <w:bookmarkEnd w:id="16"/>
    </w:p>
    <w:p>
      <w:pPr>
        <w:pStyle w:val="5"/>
        <w:spacing w:line="360" w:lineRule="auto"/>
        <w:ind w:firstLine="562" w:firstLineChars="200"/>
        <w:rPr>
          <w:rStyle w:val="16"/>
          <w:rFonts w:ascii="仿宋" w:hAnsi="仿宋" w:eastAsia="仿宋"/>
          <w:b/>
          <w:bCs/>
        </w:rPr>
      </w:pPr>
      <w:bookmarkStart w:id="17" w:name="_Toc70450303"/>
      <w:r>
        <w:rPr>
          <w:rStyle w:val="16"/>
          <w:rFonts w:hint="eastAsia" w:ascii="仿宋" w:hAnsi="仿宋" w:eastAsia="仿宋"/>
          <w:b/>
          <w:bCs/>
        </w:rPr>
        <w:t>1、专项资金安排落实、总投入等情况分析</w:t>
      </w:r>
      <w:bookmarkEnd w:id="17"/>
    </w:p>
    <w:p>
      <w:pPr>
        <w:spacing w:line="360" w:lineRule="auto"/>
        <w:ind w:firstLine="492" w:firstLineChars="181"/>
        <w:rPr>
          <w:rStyle w:val="16"/>
          <w:rFonts w:ascii="仿宋_GB2312" w:hAnsi="楷体" w:eastAsia="仿宋_GB2312"/>
          <w:b w:val="0"/>
          <w:spacing w:val="-4"/>
          <w:sz w:val="28"/>
          <w:szCs w:val="28"/>
          <w:highlight w:val="none"/>
        </w:rPr>
      </w:pPr>
      <w:r>
        <w:rPr>
          <w:rStyle w:val="16"/>
          <w:rFonts w:ascii="仿宋_GB2312" w:hAnsi="楷体" w:eastAsia="仿宋_GB2312"/>
          <w:b w:val="0"/>
          <w:spacing w:val="-4"/>
          <w:sz w:val="28"/>
          <w:szCs w:val="28"/>
          <w:highlight w:val="none"/>
        </w:rPr>
        <w:t>2021</w:t>
      </w:r>
      <w:r>
        <w:rPr>
          <w:rStyle w:val="16"/>
          <w:rFonts w:hint="eastAsia" w:ascii="仿宋_GB2312" w:hAnsi="楷体" w:eastAsia="仿宋_GB2312"/>
          <w:b w:val="0"/>
          <w:spacing w:val="-4"/>
          <w:sz w:val="28"/>
          <w:szCs w:val="28"/>
          <w:highlight w:val="none"/>
        </w:rPr>
        <w:t>年预算安排专项资金</w:t>
      </w:r>
      <w:r>
        <w:rPr>
          <w:rStyle w:val="16"/>
          <w:rFonts w:ascii="仿宋_GB2312" w:hAnsi="楷体" w:eastAsia="仿宋_GB2312"/>
          <w:b w:val="0"/>
          <w:spacing w:val="-4"/>
          <w:sz w:val="28"/>
          <w:szCs w:val="28"/>
          <w:highlight w:val="none"/>
        </w:rPr>
        <w:t xml:space="preserve"> 0</w:t>
      </w:r>
      <w:r>
        <w:rPr>
          <w:rStyle w:val="16"/>
          <w:rFonts w:hint="eastAsia" w:ascii="仿宋_GB2312" w:hAnsi="楷体" w:eastAsia="仿宋_GB2312"/>
          <w:b w:val="0"/>
          <w:spacing w:val="-4"/>
          <w:sz w:val="28"/>
          <w:szCs w:val="28"/>
          <w:highlight w:val="none"/>
        </w:rPr>
        <w:t>万元，实际到位</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万元,</w:t>
      </w:r>
      <w:r>
        <w:rPr>
          <w:rFonts w:hint="eastAsia"/>
          <w:highlight w:val="none"/>
        </w:rPr>
        <w:t xml:space="preserve"> </w:t>
      </w:r>
      <w:r>
        <w:rPr>
          <w:rStyle w:val="16"/>
          <w:rFonts w:hint="eastAsia" w:ascii="仿宋_GB2312" w:hAnsi="楷体" w:eastAsia="仿宋_GB2312"/>
          <w:b w:val="0"/>
          <w:spacing w:val="-4"/>
          <w:sz w:val="28"/>
          <w:szCs w:val="28"/>
          <w:highlight w:val="none"/>
        </w:rPr>
        <w:t>到位率</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％,其中:中央转移支付项目资金</w:t>
      </w:r>
      <w:r>
        <w:rPr>
          <w:rStyle w:val="16"/>
          <w:rFonts w:ascii="仿宋_GB2312" w:hAnsi="楷体" w:eastAsia="仿宋_GB2312"/>
          <w:b w:val="0"/>
          <w:spacing w:val="-4"/>
          <w:sz w:val="28"/>
          <w:szCs w:val="28"/>
          <w:highlight w:val="none"/>
        </w:rPr>
        <w:t xml:space="preserve"> 0</w:t>
      </w:r>
      <w:r>
        <w:rPr>
          <w:rStyle w:val="16"/>
          <w:rFonts w:hint="eastAsia" w:ascii="仿宋_GB2312" w:hAnsi="楷体" w:eastAsia="仿宋_GB2312"/>
          <w:b w:val="0"/>
          <w:spacing w:val="-4"/>
          <w:sz w:val="28"/>
          <w:szCs w:val="28"/>
          <w:highlight w:val="none"/>
        </w:rPr>
        <w:t>万元，自治区资金</w:t>
      </w:r>
      <w:r>
        <w:rPr>
          <w:rStyle w:val="16"/>
          <w:rFonts w:ascii="仿宋_GB2312" w:hAnsi="楷体" w:eastAsia="仿宋_GB2312"/>
          <w:b w:val="0"/>
          <w:spacing w:val="-4"/>
          <w:sz w:val="28"/>
          <w:szCs w:val="28"/>
          <w:highlight w:val="none"/>
        </w:rPr>
        <w:t xml:space="preserve"> 0</w:t>
      </w:r>
      <w:r>
        <w:rPr>
          <w:rStyle w:val="16"/>
          <w:rFonts w:hint="eastAsia" w:ascii="仿宋_GB2312" w:hAnsi="楷体" w:eastAsia="仿宋_GB2312"/>
          <w:b w:val="0"/>
          <w:spacing w:val="-4"/>
          <w:sz w:val="28"/>
          <w:szCs w:val="28"/>
          <w:highlight w:val="none"/>
        </w:rPr>
        <w:t xml:space="preserve">万元，本级安排 </w:t>
      </w:r>
      <w:r>
        <w:rPr>
          <w:rStyle w:val="16"/>
          <w:rFonts w:ascii="仿宋_GB2312" w:hAnsi="楷体" w:eastAsia="仿宋_GB2312"/>
          <w:b w:val="0"/>
          <w:spacing w:val="-4"/>
          <w:sz w:val="28"/>
          <w:szCs w:val="28"/>
          <w:highlight w:val="none"/>
        </w:rPr>
        <w:t xml:space="preserve">   0</w:t>
      </w:r>
      <w:r>
        <w:rPr>
          <w:rStyle w:val="16"/>
          <w:rFonts w:hint="eastAsia" w:ascii="仿宋_GB2312" w:hAnsi="楷体" w:eastAsia="仿宋_GB2312"/>
          <w:b w:val="0"/>
          <w:spacing w:val="-4"/>
          <w:sz w:val="28"/>
          <w:szCs w:val="28"/>
          <w:highlight w:val="none"/>
        </w:rPr>
        <w:t>万元。</w:t>
      </w:r>
    </w:p>
    <w:p>
      <w:pPr>
        <w:pStyle w:val="5"/>
        <w:spacing w:line="360" w:lineRule="auto"/>
        <w:ind w:firstLine="562" w:firstLineChars="200"/>
        <w:rPr>
          <w:rStyle w:val="16"/>
          <w:rFonts w:ascii="仿宋" w:hAnsi="仿宋" w:eastAsia="仿宋"/>
          <w:b/>
          <w:bCs/>
        </w:rPr>
      </w:pPr>
      <w:bookmarkStart w:id="18" w:name="_Toc70450304"/>
      <w:r>
        <w:rPr>
          <w:rStyle w:val="16"/>
          <w:rFonts w:hint="eastAsia" w:ascii="仿宋" w:hAnsi="仿宋" w:eastAsia="仿宋"/>
          <w:b/>
          <w:bCs/>
        </w:rPr>
        <w:t>2、专项资金实际使用情况</w:t>
      </w:r>
      <w:bookmarkEnd w:id="18"/>
    </w:p>
    <w:p>
      <w:pPr>
        <w:spacing w:line="360" w:lineRule="auto"/>
        <w:ind w:firstLine="492" w:firstLineChars="181"/>
        <w:rPr>
          <w:rFonts w:hint="eastAsia" w:ascii="仿宋_GB2312" w:hAnsi="楷体" w:eastAsia="仿宋_GB2312"/>
          <w:bCs/>
          <w:spacing w:val="-4"/>
          <w:sz w:val="28"/>
          <w:szCs w:val="28"/>
          <w:highlight w:val="none"/>
        </w:rPr>
      </w:pPr>
      <w:r>
        <w:rPr>
          <w:rStyle w:val="16"/>
          <w:rFonts w:hint="eastAsia" w:ascii="仿宋_GB2312" w:hAnsi="楷体" w:eastAsia="仿宋_GB2312"/>
          <w:b w:val="0"/>
          <w:spacing w:val="-4"/>
          <w:sz w:val="28"/>
          <w:szCs w:val="28"/>
          <w:highlight w:val="none"/>
        </w:rPr>
        <w:t>2021年专项资金支出</w:t>
      </w:r>
      <w:r>
        <w:rPr>
          <w:rStyle w:val="16"/>
          <w:rFonts w:ascii="仿宋_GB2312" w:hAnsi="楷体" w:eastAsia="仿宋_GB2312"/>
          <w:b w:val="0"/>
          <w:spacing w:val="-4"/>
          <w:sz w:val="28"/>
          <w:szCs w:val="28"/>
          <w:highlight w:val="none"/>
        </w:rPr>
        <w:t xml:space="preserve"> 0</w:t>
      </w:r>
      <w:r>
        <w:rPr>
          <w:rStyle w:val="16"/>
          <w:rFonts w:hint="eastAsia" w:ascii="仿宋_GB2312" w:hAnsi="楷体" w:eastAsia="仿宋_GB2312"/>
          <w:b w:val="0"/>
          <w:spacing w:val="-4"/>
          <w:sz w:val="28"/>
          <w:szCs w:val="28"/>
          <w:highlight w:val="none"/>
        </w:rPr>
        <w:t>万元，占总支出的</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%，其中2021年专项项目支出比上年</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万元增加</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万元，上升</w:t>
      </w:r>
      <w:r>
        <w:rPr>
          <w:rStyle w:val="16"/>
          <w:rFonts w:ascii="仿宋_GB2312" w:hAnsi="楷体" w:eastAsia="仿宋_GB2312"/>
          <w:b w:val="0"/>
          <w:spacing w:val="-4"/>
          <w:sz w:val="28"/>
          <w:szCs w:val="28"/>
          <w:highlight w:val="none"/>
        </w:rPr>
        <w:t>0</w:t>
      </w:r>
      <w:r>
        <w:rPr>
          <w:rStyle w:val="16"/>
          <w:rFonts w:hint="eastAsia" w:ascii="仿宋_GB2312" w:hAnsi="楷体" w:eastAsia="仿宋_GB2312"/>
          <w:b w:val="0"/>
          <w:spacing w:val="-4"/>
          <w:sz w:val="28"/>
          <w:szCs w:val="28"/>
          <w:highlight w:val="none"/>
        </w:rPr>
        <w:t>%。主要原因是未安排预算</w:t>
      </w:r>
      <w:r>
        <w:rPr>
          <w:rStyle w:val="16"/>
          <w:rFonts w:ascii="仿宋_GB2312" w:hAnsi="楷体" w:eastAsia="仿宋_GB2312"/>
          <w:b w:val="0"/>
          <w:spacing w:val="-4"/>
          <w:sz w:val="28"/>
          <w:szCs w:val="28"/>
          <w:highlight w:val="none"/>
        </w:rPr>
        <w:t xml:space="preserve"> </w:t>
      </w:r>
      <w:r>
        <w:rPr>
          <w:rStyle w:val="16"/>
          <w:rFonts w:hint="eastAsia" w:ascii="仿宋_GB2312" w:hAnsi="楷体" w:eastAsia="仿宋_GB2312"/>
          <w:b w:val="0"/>
          <w:spacing w:val="-4"/>
          <w:sz w:val="28"/>
          <w:szCs w:val="28"/>
          <w:highlight w:val="none"/>
        </w:rPr>
        <w:t>。</w:t>
      </w:r>
    </w:p>
    <w:p>
      <w:pPr>
        <w:pStyle w:val="5"/>
        <w:spacing w:line="360" w:lineRule="auto"/>
        <w:ind w:firstLine="562" w:firstLineChars="200"/>
        <w:rPr>
          <w:rStyle w:val="16"/>
          <w:rFonts w:ascii="仿宋" w:hAnsi="仿宋" w:eastAsia="仿宋"/>
          <w:b/>
          <w:bCs/>
        </w:rPr>
      </w:pPr>
      <w:bookmarkStart w:id="19" w:name="_Toc70450305"/>
      <w:r>
        <w:rPr>
          <w:rStyle w:val="16"/>
          <w:rFonts w:hint="eastAsia" w:ascii="仿宋" w:hAnsi="仿宋" w:eastAsia="仿宋"/>
          <w:b/>
          <w:bCs/>
        </w:rPr>
        <w:t>3、专项资金管理情况</w:t>
      </w:r>
      <w:bookmarkEnd w:id="19"/>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为规范专项资金使用，提高专项资金使用效益，我单位主要采取四项措施。</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1）制定了《特克斯县审计局财务管理制度》，《特克斯县审计局内控制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w:t>
      </w:r>
      <w:r>
        <w:rPr>
          <w:rStyle w:val="16"/>
          <w:rFonts w:ascii="仿宋_GB2312" w:hAnsi="楷体" w:eastAsia="仿宋_GB2312"/>
          <w:b w:val="0"/>
          <w:spacing w:val="-4"/>
          <w:sz w:val="28"/>
          <w:szCs w:val="28"/>
        </w:rPr>
        <w:t>2</w:t>
      </w:r>
      <w:r>
        <w:rPr>
          <w:rStyle w:val="16"/>
          <w:rFonts w:hint="eastAsia" w:ascii="仿宋_GB2312" w:hAnsi="楷体" w:eastAsia="仿宋_GB2312"/>
          <w:b w:val="0"/>
          <w:spacing w:val="-4"/>
          <w:sz w:val="28"/>
          <w:szCs w:val="28"/>
        </w:rPr>
        <w:t>）建立特克斯县审计局专项资金专帐，做到有据可依，有据可查。</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（3）制订了特克斯县审计局项目实施方案，确保项目顺利进行。</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（4）认真组织特克斯县审计局项目验收，确保项目验收合格。</w:t>
      </w:r>
    </w:p>
    <w:p>
      <w:pPr>
        <w:spacing w:line="360" w:lineRule="auto"/>
        <w:ind w:firstLine="492" w:firstLineChars="181"/>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专项资金涉及政府采购项目的，按照局《政府采购与招标管理办法》组织人员制定采购计划，按照财政局采购部门批复，进行公开招标、邀请招标等方式进行。</w:t>
      </w:r>
    </w:p>
    <w:p>
      <w:pPr>
        <w:pStyle w:val="3"/>
        <w:spacing w:line="360" w:lineRule="auto"/>
        <w:rPr>
          <w:rFonts w:ascii="仿宋" w:hAnsi="仿宋" w:eastAsia="仿宋"/>
          <w:sz w:val="36"/>
          <w:szCs w:val="36"/>
          <w:lang w:bidi="ar"/>
        </w:rPr>
      </w:pPr>
      <w:bookmarkStart w:id="20" w:name="_Toc70450306"/>
      <w:r>
        <w:rPr>
          <w:rFonts w:hint="eastAsia" w:ascii="仿宋" w:hAnsi="仿宋" w:eastAsia="仿宋"/>
          <w:sz w:val="36"/>
          <w:szCs w:val="36"/>
          <w:lang w:bidi="ar"/>
        </w:rPr>
        <w:t>三、部门单位专项组织实施情况</w:t>
      </w:r>
      <w:bookmarkEnd w:id="20"/>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本单位2021年度未安排专项项目支出预算。</w:t>
      </w:r>
    </w:p>
    <w:p>
      <w:pPr>
        <w:pStyle w:val="3"/>
        <w:spacing w:line="360" w:lineRule="auto"/>
        <w:rPr>
          <w:rFonts w:ascii="仿宋" w:hAnsi="仿宋" w:eastAsia="仿宋"/>
          <w:sz w:val="36"/>
          <w:szCs w:val="36"/>
          <w:lang w:bidi="ar"/>
        </w:rPr>
      </w:pPr>
      <w:bookmarkStart w:id="21" w:name="_Toc70450310"/>
      <w:r>
        <w:rPr>
          <w:rFonts w:hint="eastAsia" w:ascii="仿宋" w:hAnsi="仿宋" w:eastAsia="仿宋"/>
          <w:sz w:val="36"/>
          <w:szCs w:val="36"/>
          <w:lang w:bidi="ar"/>
        </w:rPr>
        <w:t>四、资产管理情况</w:t>
      </w:r>
      <w:bookmarkEnd w:id="21"/>
    </w:p>
    <w:p>
      <w:pPr>
        <w:pStyle w:val="4"/>
        <w:spacing w:line="360" w:lineRule="auto"/>
        <w:rPr>
          <w:rStyle w:val="16"/>
          <w:rFonts w:ascii="仿宋" w:hAnsi="仿宋" w:eastAsia="仿宋"/>
          <w:b/>
          <w:bCs/>
        </w:rPr>
      </w:pPr>
      <w:bookmarkStart w:id="22" w:name="_Toc70450311"/>
      <w:r>
        <w:rPr>
          <w:rStyle w:val="16"/>
          <w:rFonts w:hint="eastAsia" w:ascii="仿宋" w:hAnsi="仿宋" w:eastAsia="仿宋"/>
          <w:b/>
          <w:bCs/>
        </w:rPr>
        <w:t>（一）资产配置情况</w:t>
      </w:r>
      <w:bookmarkEnd w:id="22"/>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宋体" w:eastAsia="仿宋_GB2312"/>
          <w:b w:val="0"/>
          <w:bCs w:val="0"/>
          <w:spacing w:val="-4"/>
          <w:sz w:val="28"/>
          <w:szCs w:val="28"/>
        </w:rPr>
        <w:t>2</w:t>
      </w:r>
      <w:r>
        <w:rPr>
          <w:rStyle w:val="16"/>
          <w:rFonts w:hint="eastAsia" w:ascii="仿宋_GB2312" w:hAnsi="楷体" w:eastAsia="仿宋_GB2312"/>
          <w:b w:val="0"/>
          <w:spacing w:val="-4"/>
          <w:sz w:val="28"/>
          <w:szCs w:val="28"/>
        </w:rPr>
        <w:t>021年我单位资产总额61.47万元，其中流动资产0万元，固定资产净值13.12万元（其中：土地、房屋及构筑物0万元，占固定资产净值的0%；通用设备56.21万元，占固定资产净值的91%；专用设备0 万元，占固定资产净值的0%；其他）。</w:t>
      </w:r>
    </w:p>
    <w:p>
      <w:pPr>
        <w:spacing w:line="360" w:lineRule="auto"/>
        <w:ind w:firstLine="544" w:firstLineChars="200"/>
        <w:rPr>
          <w:rStyle w:val="16"/>
          <w:rFonts w:ascii="仿宋_GB2312" w:hAnsi="楷体" w:eastAsia="仿宋_GB2312"/>
          <w:b w:val="0"/>
          <w:spacing w:val="-4"/>
          <w:sz w:val="28"/>
          <w:szCs w:val="28"/>
          <w:highlight w:val="none"/>
        </w:rPr>
      </w:pPr>
      <w:r>
        <w:rPr>
          <w:rStyle w:val="16"/>
          <w:rFonts w:hint="eastAsia" w:ascii="仿宋_GB2312" w:hAnsi="宋体" w:eastAsia="仿宋_GB2312"/>
          <w:b w:val="0"/>
          <w:bCs w:val="0"/>
          <w:spacing w:val="-4"/>
          <w:sz w:val="28"/>
          <w:szCs w:val="28"/>
          <w:highlight w:val="none"/>
        </w:rPr>
        <w:t>本年度流动资产</w:t>
      </w:r>
      <w:r>
        <w:rPr>
          <w:rStyle w:val="16"/>
          <w:rFonts w:ascii="仿宋_GB2312" w:hAnsi="宋体" w:eastAsia="仿宋_GB2312"/>
          <w:b w:val="0"/>
          <w:bCs w:val="0"/>
          <w:spacing w:val="-4"/>
          <w:sz w:val="28"/>
          <w:szCs w:val="28"/>
          <w:highlight w:val="none"/>
        </w:rPr>
        <w:t>0</w:t>
      </w:r>
      <w:r>
        <w:rPr>
          <w:rStyle w:val="16"/>
          <w:rFonts w:hint="eastAsia" w:ascii="仿宋_GB2312" w:hAnsi="宋体" w:eastAsia="仿宋_GB2312"/>
          <w:b w:val="0"/>
          <w:bCs w:val="0"/>
          <w:spacing w:val="-4"/>
          <w:sz w:val="28"/>
          <w:szCs w:val="28"/>
          <w:highlight w:val="none"/>
        </w:rPr>
        <w:t>万元，比上年增加0万元，原因是：</w:t>
      </w:r>
      <w:r>
        <w:rPr>
          <w:rStyle w:val="16"/>
          <w:rFonts w:hint="eastAsia" w:ascii="仿宋_GB2312" w:hAnsi="楷体" w:eastAsia="仿宋_GB2312"/>
          <w:b w:val="0"/>
          <w:spacing w:val="-4"/>
          <w:sz w:val="28"/>
          <w:szCs w:val="28"/>
          <w:highlight w:val="none"/>
        </w:rPr>
        <w:t>未安排预算</w:t>
      </w:r>
      <w:r>
        <w:rPr>
          <w:rStyle w:val="16"/>
          <w:rFonts w:hint="eastAsia" w:ascii="仿宋_GB2312" w:hAnsi="宋体" w:eastAsia="仿宋_GB2312"/>
          <w:b w:val="0"/>
          <w:bCs w:val="0"/>
          <w:spacing w:val="-4"/>
          <w:sz w:val="28"/>
          <w:szCs w:val="28"/>
          <w:highlight w:val="none"/>
        </w:rPr>
        <w:t xml:space="preserve"> 。</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本年度固定资产61.47万元，比上年增加0.16万元，原因是：购买打草设备。</w:t>
      </w:r>
    </w:p>
    <w:p>
      <w:pPr>
        <w:spacing w:line="360" w:lineRule="auto"/>
        <w:ind w:firstLine="544" w:firstLineChars="200"/>
        <w:rPr>
          <w:rStyle w:val="16"/>
          <w:rFonts w:ascii="仿宋_GB2312" w:hAnsi="楷体" w:eastAsia="仿宋_GB2312"/>
          <w:b w:val="0"/>
          <w:spacing w:val="-4"/>
          <w:sz w:val="28"/>
          <w:szCs w:val="28"/>
        </w:rPr>
      </w:pPr>
      <w:r>
        <w:rPr>
          <w:rStyle w:val="16"/>
          <w:rFonts w:hint="eastAsia" w:ascii="仿宋_GB2312" w:hAnsi="楷体" w:eastAsia="仿宋_GB2312"/>
          <w:b w:val="0"/>
          <w:spacing w:val="-4"/>
          <w:sz w:val="28"/>
          <w:szCs w:val="28"/>
        </w:rPr>
        <w:t>实际在用固定资产61.47万元，固定资产利用率100%。</w:t>
      </w:r>
    </w:p>
    <w:p>
      <w:pPr>
        <w:pStyle w:val="4"/>
        <w:spacing w:line="360" w:lineRule="auto"/>
        <w:rPr>
          <w:rStyle w:val="16"/>
          <w:rFonts w:ascii="仿宋" w:hAnsi="仿宋" w:eastAsia="仿宋"/>
          <w:b/>
          <w:bCs/>
        </w:rPr>
      </w:pPr>
      <w:bookmarkStart w:id="23" w:name="_Toc70450312"/>
      <w:r>
        <w:rPr>
          <w:rStyle w:val="16"/>
          <w:rFonts w:hint="eastAsia" w:ascii="仿宋" w:hAnsi="仿宋" w:eastAsia="仿宋"/>
          <w:b/>
          <w:bCs/>
        </w:rPr>
        <w:t>（二）资产管理情况</w:t>
      </w:r>
      <w:bookmarkEnd w:id="23"/>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ascii="仿宋" w:hAnsi="仿宋" w:eastAsia="仿宋"/>
          <w:sz w:val="36"/>
          <w:szCs w:val="36"/>
          <w:lang w:bidi="ar"/>
        </w:rPr>
      </w:pPr>
      <w:bookmarkStart w:id="24" w:name="_Toc70450313"/>
      <w:r>
        <w:rPr>
          <w:rFonts w:hint="eastAsia" w:ascii="仿宋" w:hAnsi="仿宋" w:eastAsia="仿宋"/>
          <w:sz w:val="36"/>
          <w:szCs w:val="36"/>
          <w:lang w:bidi="ar"/>
        </w:rPr>
        <w:t>五、部门单位整体支出绩效情况</w:t>
      </w:r>
      <w:bookmarkEnd w:id="24"/>
    </w:p>
    <w:p>
      <w:pPr>
        <w:pStyle w:val="4"/>
        <w:spacing w:line="360" w:lineRule="auto"/>
        <w:ind w:firstLine="643" w:firstLineChars="200"/>
        <w:rPr>
          <w:rStyle w:val="16"/>
          <w:rFonts w:ascii="仿宋" w:hAnsi="仿宋" w:eastAsia="仿宋"/>
          <w:b/>
          <w:bCs/>
        </w:rPr>
      </w:pPr>
      <w:bookmarkStart w:id="25" w:name="_Toc70450314"/>
      <w:r>
        <w:rPr>
          <w:rStyle w:val="16"/>
          <w:rFonts w:hint="eastAsia" w:ascii="仿宋" w:hAnsi="仿宋" w:eastAsia="仿宋"/>
          <w:b/>
          <w:bCs/>
        </w:rPr>
        <w:t>（一）经济效益评价</w:t>
      </w:r>
      <w:bookmarkEnd w:id="25"/>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2021年度我单位年初预算安排139.59万元，年中调整90.33万元，截止12月底支出229.92万元，执行率100%。</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1、预算资金执行过程中均按照年初预算分配情况均做到专款专用，未出现资金侵、挪占情况。</w:t>
      </w:r>
    </w:p>
    <w:p>
      <w:pPr>
        <w:spacing w:line="360" w:lineRule="auto"/>
        <w:ind w:firstLine="544" w:firstLineChars="200"/>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2、全年按照部门预算进行成本控制，全部控制在厉行节约指标数内。其他支出按财政部门下达的计划实施，全年没有项目超支（若有超支请详细说明情况）。</w:t>
      </w:r>
    </w:p>
    <w:p>
      <w:pPr>
        <w:pStyle w:val="4"/>
        <w:spacing w:line="360" w:lineRule="auto"/>
        <w:ind w:firstLine="643" w:firstLineChars="200"/>
        <w:rPr>
          <w:rStyle w:val="16"/>
          <w:rFonts w:ascii="仿宋" w:hAnsi="仿宋" w:eastAsia="仿宋"/>
          <w:b/>
          <w:bCs/>
        </w:rPr>
      </w:pPr>
      <w:bookmarkStart w:id="26" w:name="_Toc70450315"/>
      <w:r>
        <w:rPr>
          <w:rStyle w:val="16"/>
          <w:rFonts w:hint="eastAsia" w:ascii="仿宋" w:hAnsi="仿宋" w:eastAsia="仿宋"/>
          <w:b/>
          <w:bCs/>
        </w:rPr>
        <w:t>（二）效率性评价</w:t>
      </w:r>
      <w:bookmarkEnd w:id="26"/>
    </w:p>
    <w:p>
      <w:pPr>
        <w:spacing w:line="360" w:lineRule="auto"/>
        <w:ind w:firstLine="544" w:firstLineChars="200"/>
        <w:rPr>
          <w:rStyle w:val="16"/>
          <w:rFonts w:hint="eastAsia" w:ascii="仿宋_GB2312" w:hAnsi="宋体" w:eastAsia="仿宋_GB2312" w:cs="Times New Roman"/>
          <w:b w:val="0"/>
          <w:bCs w:val="0"/>
          <w:spacing w:val="-4"/>
          <w:kern w:val="2"/>
          <w:sz w:val="28"/>
          <w:szCs w:val="28"/>
          <w:lang w:val="en-US" w:eastAsia="zh-CN" w:bidi="ar-SA"/>
        </w:rPr>
      </w:pPr>
      <w:r>
        <w:rPr>
          <w:rStyle w:val="16"/>
          <w:rFonts w:hint="eastAsia" w:ascii="仿宋_GB2312" w:hAnsi="宋体" w:eastAsia="仿宋_GB2312" w:cs="Times New Roman"/>
          <w:b w:val="0"/>
          <w:bCs w:val="0"/>
          <w:spacing w:val="-4"/>
          <w:kern w:val="2"/>
          <w:sz w:val="28"/>
          <w:szCs w:val="28"/>
          <w:lang w:val="en-US" w:eastAsia="zh-CN" w:bidi="ar-SA"/>
        </w:rPr>
        <w:t>2021年，在县委、县政府的坚强领导下，在上级审计机关的指导支持下，我单位迎难而上、务实重干，积极推动各项审计工作取得了新的进展，为促进经济持续健康发展与社会和谐稳定提供了有力的纪律支撑和保障。</w:t>
      </w:r>
      <w:bookmarkStart w:id="32" w:name="_GoBack"/>
      <w:bookmarkEnd w:id="32"/>
    </w:p>
    <w:p>
      <w:pPr>
        <w:ind w:firstLine="544" w:firstLineChars="200"/>
        <w:jc w:val="left"/>
        <w:rPr>
          <w:rStyle w:val="16"/>
          <w:rFonts w:hint="eastAsia" w:ascii="仿宋_GB2312" w:hAnsi="宋体" w:eastAsia="仿宋_GB2312" w:cs="Times New Roman"/>
          <w:b w:val="0"/>
          <w:bCs w:val="0"/>
          <w:spacing w:val="-4"/>
          <w:kern w:val="2"/>
          <w:sz w:val="28"/>
          <w:szCs w:val="28"/>
          <w:lang w:val="en-US" w:eastAsia="zh-CN" w:bidi="ar-SA"/>
        </w:rPr>
      </w:pPr>
      <w:r>
        <w:rPr>
          <w:rStyle w:val="16"/>
          <w:rFonts w:hint="eastAsia" w:ascii="仿宋_GB2312" w:hAnsi="宋体" w:eastAsia="仿宋_GB2312" w:cs="Times New Roman"/>
          <w:b w:val="0"/>
          <w:bCs w:val="0"/>
          <w:spacing w:val="-4"/>
          <w:kern w:val="2"/>
          <w:sz w:val="28"/>
          <w:szCs w:val="28"/>
          <w:lang w:val="en-US" w:eastAsia="zh-CN" w:bidi="ar-SA"/>
        </w:rPr>
        <w:t>根据县委审计委员会和州审计局的安排，县审计局共派出审计组实施42个审计项目，审计查出问题216条（含推送问题），共涉及问题金额17224.34万元。已整改102条，整改率46%，整改中67条、未整改47条。移送纪委13个问题案件线索。</w:t>
      </w:r>
    </w:p>
    <w:p>
      <w:pPr>
        <w:ind w:firstLine="544" w:firstLineChars="200"/>
        <w:jc w:val="left"/>
        <w:rPr>
          <w:rStyle w:val="16"/>
          <w:rFonts w:hint="eastAsia" w:ascii="仿宋_GB2312" w:hAnsi="宋体" w:eastAsia="仿宋_GB2312" w:cs="Times New Roman"/>
          <w:b w:val="0"/>
          <w:bCs w:val="0"/>
          <w:spacing w:val="-4"/>
          <w:kern w:val="2"/>
          <w:sz w:val="28"/>
          <w:szCs w:val="28"/>
          <w:lang w:val="en-US" w:eastAsia="zh-CN" w:bidi="ar-SA"/>
        </w:rPr>
      </w:pPr>
      <w:r>
        <w:rPr>
          <w:rStyle w:val="16"/>
          <w:rFonts w:hint="eastAsia" w:ascii="仿宋_GB2312" w:hAnsi="宋体" w:eastAsia="仿宋_GB2312" w:cs="Times New Roman"/>
          <w:b w:val="0"/>
          <w:bCs w:val="0"/>
          <w:spacing w:val="-4"/>
          <w:kern w:val="2"/>
          <w:sz w:val="28"/>
          <w:szCs w:val="28"/>
          <w:lang w:val="en-US" w:eastAsia="zh-CN" w:bidi="ar-SA"/>
        </w:rPr>
        <w:t>通过全面梳理特克斯县上报内部审计单位数65个，其中：企业1个，党政机关单位46个，事业单位11个，其他7个。通过统计汇总，全县有内审机构职能的部门不到20%；2020年7月向县直12个部门单位采集数据23项，于2021年完善更新了3个部门单位3项数据。将采集的相关数据经过清洗分析转换为标准数据表，通过相关表的对比发现问题线索，追回补贴资金1.86万元。</w:t>
      </w:r>
    </w:p>
    <w:p>
      <w:pPr>
        <w:spacing w:line="560" w:lineRule="exact"/>
        <w:ind w:firstLine="544" w:firstLineChars="200"/>
        <w:rPr>
          <w:rStyle w:val="16"/>
          <w:rFonts w:hint="eastAsia" w:ascii="仿宋_GB2312" w:hAnsi="宋体" w:eastAsia="仿宋_GB2312" w:cs="Times New Roman"/>
          <w:b w:val="0"/>
          <w:bCs w:val="0"/>
          <w:spacing w:val="-4"/>
          <w:kern w:val="2"/>
          <w:sz w:val="28"/>
          <w:szCs w:val="28"/>
          <w:lang w:val="en-US" w:eastAsia="zh-CN" w:bidi="ar-SA"/>
        </w:rPr>
      </w:pPr>
      <w:r>
        <w:rPr>
          <w:rStyle w:val="16"/>
          <w:rFonts w:hint="eastAsia" w:ascii="仿宋_GB2312" w:hAnsi="宋体" w:eastAsia="仿宋_GB2312" w:cs="Times New Roman"/>
          <w:b w:val="0"/>
          <w:bCs w:val="0"/>
          <w:spacing w:val="-4"/>
          <w:kern w:val="2"/>
          <w:sz w:val="28"/>
          <w:szCs w:val="28"/>
          <w:lang w:val="en-US" w:eastAsia="zh-CN" w:bidi="ar-SA"/>
        </w:rPr>
        <w:t>扎实开展清理退出议事协调机构自查工作，及时查阅近年登记记录，梳理出近五年来参加全县各类议事协调机构及领导班子成员、工作人员担任议事协调机构职务情况69个，对是否属于退出范围的机构和任职情况进行了分类登记和甄别，已申请退出议事机构25个，继续保留44个。</w:t>
      </w:r>
    </w:p>
    <w:p>
      <w:pPr>
        <w:pStyle w:val="4"/>
        <w:spacing w:line="360" w:lineRule="auto"/>
        <w:ind w:firstLine="643" w:firstLineChars="200"/>
        <w:rPr>
          <w:rStyle w:val="16"/>
          <w:rFonts w:ascii="仿宋" w:hAnsi="仿宋" w:eastAsia="仿宋"/>
          <w:b/>
          <w:bCs/>
        </w:rPr>
      </w:pPr>
      <w:bookmarkStart w:id="27" w:name="_Toc70450316"/>
      <w:r>
        <w:rPr>
          <w:rStyle w:val="16"/>
          <w:rFonts w:hint="eastAsia" w:ascii="仿宋" w:hAnsi="仿宋" w:eastAsia="仿宋"/>
          <w:b/>
          <w:bCs/>
        </w:rPr>
        <w:t>（三）有效性评价</w:t>
      </w:r>
      <w:bookmarkEnd w:id="27"/>
    </w:p>
    <w:p>
      <w:pPr>
        <w:pStyle w:val="12"/>
        <w:widowControl/>
        <w:spacing w:before="40" w:beforeAutospacing="0" w:after="0" w:afterAutospacing="0" w:line="520" w:lineRule="atLeast"/>
        <w:ind w:firstLine="520"/>
        <w:jc w:val="both"/>
        <w:rPr>
          <w:rStyle w:val="16"/>
          <w:rFonts w:ascii="仿宋_GB2312" w:hAnsi="宋体" w:eastAsia="仿宋_GB2312"/>
          <w:b w:val="0"/>
          <w:bCs w:val="0"/>
          <w:spacing w:val="-4"/>
          <w:sz w:val="28"/>
          <w:szCs w:val="28"/>
        </w:rPr>
      </w:pPr>
      <w:r>
        <w:rPr>
          <w:rStyle w:val="16"/>
          <w:rFonts w:hint="eastAsia" w:ascii="仿宋_GB2312" w:hAnsi="宋体" w:eastAsia="仿宋_GB2312"/>
          <w:b w:val="0"/>
          <w:bCs w:val="0"/>
          <w:spacing w:val="-4"/>
          <w:sz w:val="28"/>
          <w:szCs w:val="28"/>
        </w:rPr>
        <w:t>2021年部门支出的有效性主要体现在我单位各项工作成效上，我局基本经费中人员经费支出、公用支出严格执行政府的各项制度，保障全局工作正常运转，三公经费的使用严格控制在预算申报的范围内；在项目经费的使用上，在保证各项任务顺利完成的同时，严格落实厉行节约的原则。</w:t>
      </w:r>
    </w:p>
    <w:p>
      <w:pPr>
        <w:snapToGrid w:val="0"/>
        <w:spacing w:line="360" w:lineRule="auto"/>
        <w:ind w:firstLine="544" w:firstLineChars="200"/>
        <w:rPr>
          <w:rStyle w:val="16"/>
          <w:rFonts w:ascii="仿宋_GB2312" w:eastAsia="仿宋_GB2312" w:hAnsiTheme="minorEastAsia"/>
          <w:b w:val="0"/>
          <w:spacing w:val="-4"/>
          <w:sz w:val="28"/>
          <w:szCs w:val="28"/>
        </w:rPr>
      </w:pPr>
      <w:r>
        <w:rPr>
          <w:rStyle w:val="16"/>
          <w:rFonts w:hint="eastAsia" w:ascii="仿宋_GB2312" w:eastAsia="仿宋_GB2312" w:hAnsiTheme="minorEastAsia"/>
          <w:b w:val="0"/>
          <w:spacing w:val="-4"/>
          <w:sz w:val="28"/>
          <w:szCs w:val="28"/>
        </w:rPr>
        <w:t>特克斯县审计局部门单位整体绩效目标共设置一级指标3个，二级指标6个，三级指标13个，详细说明如下</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1</w:t>
      </w:r>
      <w:r>
        <w:rPr>
          <w:rStyle w:val="16"/>
          <w:rFonts w:hint="eastAsia" w:ascii="仿宋_GB2312" w:hAnsi="宋体" w:eastAsia="仿宋_GB2312"/>
          <w:b w:val="0"/>
          <w:spacing w:val="-4"/>
          <w:sz w:val="28"/>
          <w:szCs w:val="28"/>
        </w:rPr>
        <w:t>、数量指标：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指标1：保障在职人员人数，指标值： =16人，实际完成值：16人，指标完成率100%；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：退休人员数，指标值：=9人，实际完成值：9人，指标完成率100%；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指标3：培训开展次数，指标值：≥2次，实际完成值：2次，指标完成率100%；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、质量指标：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指标1：工资及公用经费保障率，指标值：=100%，实际完成值： 100% ，指标完成率100%；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3</w:t>
      </w:r>
      <w:r>
        <w:rPr>
          <w:rStyle w:val="16"/>
          <w:rFonts w:hint="eastAsia" w:ascii="仿宋_GB2312" w:hAnsi="宋体" w:eastAsia="仿宋_GB2312"/>
          <w:b w:val="0"/>
          <w:spacing w:val="-4"/>
          <w:sz w:val="28"/>
          <w:szCs w:val="28"/>
        </w:rPr>
        <w:t>、时效指标：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指标1：培训按期完成率，指标值：=100%，实际完成值：100%，指标完成率100%；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：资金发放及时性，指标值&gt;=90%，实际完成值：90%，指标完成率100%；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4</w:t>
      </w:r>
      <w:r>
        <w:rPr>
          <w:rStyle w:val="16"/>
          <w:rFonts w:hint="eastAsia" w:ascii="仿宋_GB2312" w:hAnsi="宋体" w:eastAsia="仿宋_GB2312"/>
          <w:b w:val="0"/>
          <w:spacing w:val="-4"/>
          <w:sz w:val="28"/>
          <w:szCs w:val="28"/>
        </w:rPr>
        <w:t>、成本指标：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指标1：保障人员人均支出标准，指标值：≤10.38万元，实际完成值：10.38万元，指标完成率100%；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：人均运转经费，指标值：≤0.37万元，实际完成值：0.37万元，指标完成率100%；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5</w:t>
      </w:r>
      <w:r>
        <w:rPr>
          <w:rStyle w:val="16"/>
          <w:rFonts w:hint="eastAsia" w:ascii="仿宋_GB2312" w:hAnsi="宋体" w:eastAsia="仿宋_GB2312"/>
          <w:b w:val="0"/>
          <w:spacing w:val="-4"/>
          <w:sz w:val="28"/>
          <w:szCs w:val="28"/>
        </w:rPr>
        <w:t>、社会效益指标：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指标1：促进被审计单位廉政建设，指标值：有效促进，实际完成值：有效促进，指标完成率100%；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：促进部门改进工作作风，指标值：逐步提升，实际完成值：逐步提升，指标完成率100%；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ascii="仿宋_GB2312" w:hAnsi="宋体" w:eastAsia="仿宋_GB2312"/>
          <w:b w:val="0"/>
          <w:spacing w:val="-4"/>
          <w:sz w:val="28"/>
          <w:szCs w:val="28"/>
        </w:rPr>
        <w:t>9</w:t>
      </w:r>
      <w:r>
        <w:rPr>
          <w:rStyle w:val="16"/>
          <w:rFonts w:hint="eastAsia" w:ascii="仿宋_GB2312" w:hAnsi="宋体" w:eastAsia="仿宋_GB2312"/>
          <w:b w:val="0"/>
          <w:spacing w:val="-4"/>
          <w:sz w:val="28"/>
          <w:szCs w:val="28"/>
        </w:rPr>
        <w:t>、满意度指标：</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指标1：被审单位满意度，指标值：≧90%，实际完成值：90%，指标完成率100%；</w:t>
      </w:r>
    </w:p>
    <w:p>
      <w:pPr>
        <w:snapToGrid w:val="0"/>
        <w:spacing w:line="360" w:lineRule="auto"/>
        <w:ind w:firstLine="544" w:firstLineChars="200"/>
        <w:rPr>
          <w:rStyle w:val="16"/>
          <w:rFonts w:ascii="仿宋_GB2312" w:hAnsi="宋体" w:eastAsia="仿宋_GB2312"/>
          <w:b w:val="0"/>
          <w:spacing w:val="-4"/>
          <w:sz w:val="28"/>
          <w:szCs w:val="28"/>
        </w:rPr>
      </w:pPr>
      <w:r>
        <w:rPr>
          <w:rStyle w:val="16"/>
          <w:rFonts w:hint="eastAsia" w:ascii="仿宋_GB2312" w:hAnsi="宋体" w:eastAsia="仿宋_GB2312"/>
          <w:b w:val="0"/>
          <w:spacing w:val="-4"/>
          <w:sz w:val="28"/>
          <w:szCs w:val="28"/>
        </w:rPr>
        <w:t>指标</w:t>
      </w:r>
      <w:r>
        <w:rPr>
          <w:rStyle w:val="16"/>
          <w:rFonts w:ascii="仿宋_GB2312" w:hAnsi="宋体" w:eastAsia="仿宋_GB2312"/>
          <w:b w:val="0"/>
          <w:spacing w:val="-4"/>
          <w:sz w:val="28"/>
          <w:szCs w:val="28"/>
        </w:rPr>
        <w:t>2</w:t>
      </w:r>
      <w:r>
        <w:rPr>
          <w:rStyle w:val="16"/>
          <w:rFonts w:hint="eastAsia" w:ascii="仿宋_GB2312" w:hAnsi="宋体" w:eastAsia="仿宋_GB2312"/>
          <w:b w:val="0"/>
          <w:spacing w:val="-4"/>
          <w:sz w:val="28"/>
          <w:szCs w:val="28"/>
        </w:rPr>
        <w:t>：职工满意度，指标值：≧90%，实际完成值：90% ，指标完成率100%；</w:t>
      </w:r>
    </w:p>
    <w:p>
      <w:pPr>
        <w:snapToGrid w:val="0"/>
        <w:spacing w:line="360" w:lineRule="auto"/>
        <w:ind w:firstLine="544" w:firstLineChars="200"/>
        <w:rPr>
          <w:rStyle w:val="16"/>
          <w:rFonts w:ascii="仿宋_GB2312" w:hAnsi="宋体" w:eastAsia="仿宋_GB2312"/>
          <w:b w:val="0"/>
          <w:bCs w:val="0"/>
          <w:color w:val="FF0000"/>
          <w:spacing w:val="-4"/>
          <w:sz w:val="28"/>
          <w:szCs w:val="28"/>
        </w:rPr>
      </w:pPr>
      <w:r>
        <w:rPr>
          <w:rStyle w:val="16"/>
          <w:rFonts w:hint="eastAsia" w:ascii="仿宋_GB2312" w:hAnsi="宋体" w:eastAsia="仿宋_GB2312"/>
          <w:b w:val="0"/>
          <w:spacing w:val="-4"/>
          <w:sz w:val="28"/>
          <w:szCs w:val="28"/>
        </w:rPr>
        <w:t>指标3：上级审计部门满意度，指标值：≧90%，实际完成值：90% ，指标完成率100%；</w:t>
      </w:r>
    </w:p>
    <w:p>
      <w:pPr>
        <w:pStyle w:val="3"/>
        <w:spacing w:line="360" w:lineRule="auto"/>
        <w:rPr>
          <w:rFonts w:ascii="仿宋" w:hAnsi="仿宋" w:eastAsia="仿宋"/>
          <w:sz w:val="36"/>
          <w:szCs w:val="36"/>
          <w:lang w:bidi="ar"/>
        </w:rPr>
      </w:pPr>
      <w:bookmarkStart w:id="28" w:name="_Toc70450317"/>
      <w:r>
        <w:rPr>
          <w:rFonts w:hint="eastAsia" w:ascii="仿宋" w:hAnsi="仿宋" w:eastAsia="仿宋"/>
          <w:sz w:val="36"/>
          <w:szCs w:val="36"/>
          <w:lang w:bidi="ar"/>
        </w:rPr>
        <w:t>六、存在的主要问题</w:t>
      </w:r>
      <w:bookmarkEnd w:id="28"/>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一）由于个别项目指标到第四季度下达，在预算执行中造成个别预算子项调剂现象；对个别项目资金使用方面预算不够细致，出现实际支出数超出了预算申报数或出现项目资金结余数额多的情况，导致调剂频繁，缺乏预算编制的科学性。</w:t>
      </w:r>
    </w:p>
    <w:p>
      <w:pPr>
        <w:pStyle w:val="29"/>
        <w:numPr>
          <w:ilvl w:val="0"/>
          <w:numId w:val="3"/>
        </w:numPr>
        <w:spacing w:line="560" w:lineRule="exact"/>
        <w:ind w:firstLine="530" w:firstLineChars="195"/>
        <w:rPr>
          <w:rStyle w:val="16"/>
          <w:rFonts w:ascii="仿宋_GB2312" w:hAnsi="宋体" w:eastAsia="仿宋_GB2312" w:cstheme="minorBidi"/>
          <w:b w:val="0"/>
          <w:spacing w:val="-4"/>
          <w:sz w:val="28"/>
        </w:rPr>
      </w:pPr>
      <w:r>
        <w:rPr>
          <w:rStyle w:val="16"/>
          <w:rFonts w:hint="eastAsia" w:ascii="仿宋_GB2312" w:hAnsi="宋体" w:eastAsia="仿宋_GB2312" w:cstheme="minorBidi"/>
          <w:b w:val="0"/>
          <w:spacing w:val="-4"/>
          <w:sz w:val="28"/>
        </w:rPr>
        <w:t>项目细化管理工作不足。项目经费包含小类项目较多，主要是办案人员出差办案费,办案审讯室维修经费,干警培训经费，办案车辆运行费，办案设备购置，信息及软件设备更新等，在执行过程中，办案人员出差办案费、干警培训经费的使用范围并不能把握到位，造成项目遇到各种不确定因素，财政资金无法发挥最大使用效益。</w:t>
      </w:r>
    </w:p>
    <w:p>
      <w:pPr>
        <w:pStyle w:val="29"/>
        <w:spacing w:line="560" w:lineRule="exact"/>
        <w:ind w:firstLine="544" w:firstLineChars="200"/>
        <w:rPr>
          <w:rStyle w:val="16"/>
          <w:rFonts w:ascii="仿宋_GB2312" w:hAnsi="宋体" w:eastAsia="仿宋_GB2312" w:cstheme="minorBidi"/>
          <w:b w:val="0"/>
          <w:spacing w:val="-4"/>
          <w:sz w:val="28"/>
        </w:rPr>
      </w:pPr>
      <w:r>
        <w:rPr>
          <w:rStyle w:val="16"/>
          <w:rFonts w:hint="eastAsia" w:ascii="仿宋_GB2312" w:hAnsi="宋体" w:eastAsia="仿宋_GB2312" w:cstheme="minorBidi"/>
          <w:b w:val="0"/>
          <w:spacing w:val="-4"/>
          <w:sz w:val="28"/>
        </w:rPr>
        <w:t>（三）预算绩效管理水平仍有欠缺。在2021年预算绩效管理工作中，存在“重投入轻管理、重支出轻绩效”的情况，对全面实施预算绩效管理的要求认识还不到位，项目申报、实施等环节与预算绩效管理各个环节联系不够紧密；同时预算绩效管理也是一项新工作，面对专业人手不足、绩效管理水平欠缺的情况下，坚持“滚石上山”，提升的空间还是很大。</w:t>
      </w:r>
    </w:p>
    <w:p>
      <w:pPr>
        <w:pStyle w:val="12"/>
        <w:widowControl/>
        <w:spacing w:before="40" w:beforeAutospacing="0" w:after="0" w:afterAutospacing="0" w:line="520" w:lineRule="atLeast"/>
        <w:ind w:firstLine="272" w:firstLineChars="10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（四）固定资产管理水平有待提高</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固定资产台账未及时与账面资产金额对账且末与实物进行清点及及时清理处置报废资产导致资产台账与账面资产金额存在差异,固定资产管理继续加强中。</w:t>
      </w:r>
    </w:p>
    <w:p>
      <w:pPr>
        <w:pStyle w:val="3"/>
        <w:numPr>
          <w:ilvl w:val="0"/>
          <w:numId w:val="4"/>
        </w:numPr>
        <w:spacing w:line="360" w:lineRule="auto"/>
        <w:rPr>
          <w:rFonts w:ascii="仿宋" w:hAnsi="仿宋" w:eastAsia="仿宋"/>
          <w:sz w:val="36"/>
          <w:szCs w:val="36"/>
          <w:lang w:bidi="ar"/>
        </w:rPr>
      </w:pPr>
      <w:bookmarkStart w:id="29" w:name="_Toc70450318"/>
      <w:r>
        <w:rPr>
          <w:rFonts w:hint="eastAsia" w:ascii="仿宋" w:hAnsi="仿宋" w:eastAsia="仿宋"/>
          <w:sz w:val="36"/>
          <w:szCs w:val="36"/>
          <w:lang w:bidi="ar"/>
        </w:rPr>
        <w:t>改进措施和建议</w:t>
      </w:r>
      <w:bookmarkEnd w:id="29"/>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(一)加强新行政单位会计制度和新预算法学习培训、规范账务处理，加强新《预算法》、《行政单位会计制度》 、《会计法》、《行政单位财务规则》等学习培训,规范部门预算收支核算。一是制定和完善基本支出、项目支出等各项支出标准,严格按项目进度执行预算, 增强预算的约束力和严肃性。二是落实预算执行分析,及时了解预算执行差异,合理调整、纠正预算执行偏差，切实提高部门预算收支管理水平。尽可能地做到决算与预算相衔接。</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(二)完善管理制度,进-步加强资产管理。严格按照《固定资产管理办法》的规定，加强固定资产管理,及时登记、更新台账，加强资产卡片管理,对各类实物资产进行全面盘点,确保账账、账实相符。</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（三）加强学习。进一步明确如何参照考核体系，科学合理设定绩效目标，充分发挥预算绩效管理工作效用。</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（四）财务上，会计核算要更加详细，为本单位各项工作的开展、总结、评估提供有效数据资料支撑,为各项业务工作更好的开展提供帮助。</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（五）从源头上强化对专项资金预算管理。实行专项资金预算管理，结合单位实际, 按轻重缓急统筹安排编制预算,提高预算编制科学性和合理性,优化资金结构。</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（六）按时间进度分解资金使用计划。专项资金的使用，要事前做计划，事中进行控制，事后总结提高。合理安排资金使用,充分体现资金投向的目标和效益。</w:t>
      </w:r>
    </w:p>
    <w:p>
      <w:pPr>
        <w:pStyle w:val="12"/>
        <w:widowControl/>
        <w:spacing w:before="40" w:beforeAutospacing="0" w:after="0" w:afterAutospacing="0" w:line="520" w:lineRule="atLeast"/>
        <w:ind w:firstLine="520"/>
        <w:jc w:val="both"/>
        <w:rPr>
          <w:rStyle w:val="16"/>
          <w:rFonts w:ascii="仿宋_GB2312" w:hAnsi="宋体" w:eastAsia="仿宋_GB2312" w:cstheme="minorBidi"/>
          <w:b w:val="0"/>
          <w:spacing w:val="-4"/>
          <w:sz w:val="28"/>
          <w:szCs w:val="28"/>
        </w:rPr>
      </w:pPr>
      <w:r>
        <w:rPr>
          <w:rStyle w:val="16"/>
          <w:rFonts w:hint="eastAsia" w:ascii="仿宋_GB2312" w:hAnsi="宋体" w:eastAsia="仿宋_GB2312" w:cstheme="minorBidi"/>
          <w:b w:val="0"/>
          <w:spacing w:val="-4"/>
          <w:sz w:val="28"/>
          <w:szCs w:val="28"/>
        </w:rPr>
        <w:t>（七）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pStyle w:val="3"/>
        <w:spacing w:line="360" w:lineRule="auto"/>
        <w:rPr>
          <w:rStyle w:val="16"/>
          <w:rFonts w:ascii="仿宋" w:hAnsi="仿宋" w:eastAsia="仿宋"/>
          <w:b/>
          <w:bCs/>
          <w:sz w:val="36"/>
          <w:szCs w:val="36"/>
        </w:rPr>
      </w:pPr>
      <w:bookmarkStart w:id="30" w:name="_Toc70450321"/>
      <w:r>
        <w:rPr>
          <w:rStyle w:val="16"/>
          <w:rFonts w:hint="eastAsia" w:ascii="仿宋" w:hAnsi="仿宋" w:eastAsia="仿宋"/>
          <w:b/>
          <w:bCs/>
          <w:sz w:val="36"/>
          <w:szCs w:val="36"/>
        </w:rPr>
        <w:t>八、附表</w:t>
      </w:r>
      <w:r>
        <w:rPr>
          <w:rStyle w:val="16"/>
          <w:rFonts w:hint="eastAsia" w:ascii="仿宋" w:hAnsi="仿宋" w:eastAsia="仿宋"/>
          <w:b w:val="0"/>
          <w:bCs w:val="0"/>
          <w:spacing w:val="-4"/>
          <w:sz w:val="36"/>
          <w:szCs w:val="36"/>
        </w:rPr>
        <w:t>：</w:t>
      </w:r>
      <w:bookmarkStart w:id="31" w:name="_Hlk70450148"/>
      <w:r>
        <w:rPr>
          <w:rStyle w:val="16"/>
          <w:rFonts w:hint="eastAsia" w:ascii="仿宋" w:hAnsi="仿宋" w:eastAsia="仿宋"/>
          <w:b/>
          <w:bCs/>
          <w:sz w:val="36"/>
          <w:szCs w:val="36"/>
        </w:rPr>
        <w:t>《部门整体支出绩效目标自评表》</w:t>
      </w:r>
      <w:bookmarkEnd w:id="30"/>
      <w:bookmarkEnd w:id="31"/>
    </w:p>
    <w:tbl>
      <w:tblPr>
        <w:tblStyle w:val="14"/>
        <w:tblW w:w="8744" w:type="dxa"/>
        <w:tblInd w:w="93" w:type="dxa"/>
        <w:tblLayout w:type="fixed"/>
        <w:tblCellMar>
          <w:top w:w="0" w:type="dxa"/>
          <w:left w:w="108" w:type="dxa"/>
          <w:bottom w:w="0" w:type="dxa"/>
          <w:right w:w="108" w:type="dxa"/>
        </w:tblCellMar>
      </w:tblPr>
      <w:tblGrid>
        <w:gridCol w:w="779"/>
        <w:gridCol w:w="1187"/>
        <w:gridCol w:w="1768"/>
        <w:gridCol w:w="835"/>
        <w:gridCol w:w="835"/>
        <w:gridCol w:w="835"/>
        <w:gridCol w:w="835"/>
        <w:gridCol w:w="417"/>
        <w:gridCol w:w="418"/>
        <w:gridCol w:w="835"/>
      </w:tblGrid>
      <w:tr>
        <w:tblPrEx>
          <w:tblCellMar>
            <w:top w:w="0" w:type="dxa"/>
            <w:left w:w="108" w:type="dxa"/>
            <w:bottom w:w="0" w:type="dxa"/>
            <w:right w:w="108" w:type="dxa"/>
          </w:tblCellMar>
        </w:tblPrEx>
        <w:trPr>
          <w:trHeight w:val="285" w:hRule="atLeast"/>
        </w:trPr>
        <w:tc>
          <w:tcPr>
            <w:tcW w:w="8744" w:type="dxa"/>
            <w:gridSpan w:val="10"/>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32"/>
                <w:szCs w:val="32"/>
                <w:lang w:bidi="ar"/>
              </w:rPr>
              <w:t>部门整体支出绩效目标自评表</w:t>
            </w:r>
          </w:p>
        </w:tc>
      </w:tr>
      <w:tr>
        <w:tblPrEx>
          <w:tblCellMar>
            <w:top w:w="0" w:type="dxa"/>
            <w:left w:w="108" w:type="dxa"/>
            <w:bottom w:w="0" w:type="dxa"/>
            <w:right w:w="108" w:type="dxa"/>
          </w:tblCellMar>
        </w:tblPrEx>
        <w:trPr>
          <w:trHeight w:val="285" w:hRule="atLeast"/>
        </w:trPr>
        <w:tc>
          <w:tcPr>
            <w:tcW w:w="8744" w:type="dxa"/>
            <w:gridSpan w:val="10"/>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32"/>
                <w:szCs w:val="32"/>
                <w:lang w:bidi="ar"/>
              </w:rPr>
              <w:t>(2021年)</w:t>
            </w:r>
          </w:p>
        </w:tc>
      </w:tr>
      <w:tr>
        <w:tblPrEx>
          <w:tblCellMar>
            <w:top w:w="0" w:type="dxa"/>
            <w:left w:w="108" w:type="dxa"/>
            <w:bottom w:w="0" w:type="dxa"/>
            <w:right w:w="108" w:type="dxa"/>
          </w:tblCellMar>
        </w:tblPrEx>
        <w:trPr>
          <w:trHeight w:val="285" w:hRule="atLeast"/>
        </w:trPr>
        <w:tc>
          <w:tcPr>
            <w:tcW w:w="1966" w:type="dxa"/>
            <w:gridSpan w:val="2"/>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部门（单位）名称</w:t>
            </w:r>
          </w:p>
        </w:tc>
        <w:tc>
          <w:tcPr>
            <w:tcW w:w="6778" w:type="dxa"/>
            <w:gridSpan w:val="8"/>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特克斯县审计局</w:t>
            </w:r>
          </w:p>
        </w:tc>
      </w:tr>
      <w:tr>
        <w:tblPrEx>
          <w:tblCellMar>
            <w:top w:w="0" w:type="dxa"/>
            <w:left w:w="108" w:type="dxa"/>
            <w:bottom w:w="0" w:type="dxa"/>
            <w:right w:w="108" w:type="dxa"/>
          </w:tblCellMar>
        </w:tblPrEx>
        <w:trPr>
          <w:trHeight w:val="285" w:hRule="atLeast"/>
        </w:trPr>
        <w:tc>
          <w:tcPr>
            <w:tcW w:w="779"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年度主要任务</w:t>
            </w:r>
          </w:p>
        </w:tc>
        <w:tc>
          <w:tcPr>
            <w:tcW w:w="118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任务名称</w:t>
            </w:r>
          </w:p>
        </w:tc>
        <w:tc>
          <w:tcPr>
            <w:tcW w:w="1768" w:type="dxa"/>
            <w:vMerge w:val="restart"/>
            <w:tcBorders>
              <w:top w:val="single" w:color="auto" w:sz="4" w:space="0"/>
              <w:left w:val="nil"/>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主要内容</w:t>
            </w: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预算金额（万元）</w:t>
            </w:r>
          </w:p>
        </w:tc>
        <w:tc>
          <w:tcPr>
            <w:tcW w:w="2505" w:type="dxa"/>
            <w:gridSpan w:val="4"/>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lang w:bidi="ar"/>
              </w:rPr>
              <w:t>实际执行（万元）</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kern w:val="0"/>
                <w:sz w:val="24"/>
              </w:rPr>
            </w:pPr>
          </w:p>
        </w:tc>
        <w:tc>
          <w:tcPr>
            <w:tcW w:w="176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总额</w:t>
            </w: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b/>
                <w:bCs/>
                <w:color w:val="000000"/>
                <w:kern w:val="0"/>
                <w:sz w:val="24"/>
                <w:lang w:bidi="ar"/>
              </w:rPr>
              <w:t>财政拨款</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lang w:bidi="ar"/>
              </w:rPr>
              <w:t>其他资金</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lang w:bidi="ar"/>
              </w:rPr>
              <w:t>总额</w:t>
            </w:r>
          </w:p>
        </w:tc>
        <w:tc>
          <w:tcPr>
            <w:tcW w:w="83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lang w:bidi="ar"/>
              </w:rPr>
              <w:t>财政拨款</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lang w:bidi="ar"/>
              </w:rPr>
              <w:t>其他资金</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人员保障</w:t>
            </w:r>
          </w:p>
        </w:tc>
        <w:tc>
          <w:tcPr>
            <w:tcW w:w="1768" w:type="dxa"/>
            <w:tcBorders>
              <w:top w:val="single" w:color="auto"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用于保障部门单位人员发放工资福利支出及对个人和家庭补助</w:t>
            </w: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 xml:space="preserve">134.89 </w:t>
            </w: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0"/>
                <w:szCs w:val="20"/>
                <w:lang w:bidi="ar"/>
              </w:rPr>
              <w:t xml:space="preserve">134.89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lang w:bidi="ar"/>
              </w:rPr>
              <w:t xml:space="preserve">0.00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134.89 </w:t>
            </w:r>
          </w:p>
        </w:tc>
        <w:tc>
          <w:tcPr>
            <w:tcW w:w="83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134.89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0.00 </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运转保障</w:t>
            </w:r>
          </w:p>
        </w:tc>
        <w:tc>
          <w:tcPr>
            <w:tcW w:w="1768" w:type="dxa"/>
            <w:tcBorders>
              <w:top w:val="single" w:color="auto" w:sz="4" w:space="0"/>
              <w:left w:val="single" w:color="auto" w:sz="4" w:space="0"/>
              <w:bottom w:val="single" w:color="000000" w:sz="4" w:space="0"/>
              <w:right w:val="single" w:color="000000"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用于日常办公费、取暖费、三公经费、工会经费、福利费及其它商品和服务支出</w:t>
            </w:r>
          </w:p>
        </w:tc>
        <w:tc>
          <w:tcPr>
            <w:tcW w:w="835" w:type="dxa"/>
            <w:tcBorders>
              <w:top w:val="nil"/>
              <w:left w:val="single" w:color="auto" w:sz="4" w:space="0"/>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 xml:space="preserve">4.70 </w:t>
            </w:r>
          </w:p>
        </w:tc>
        <w:tc>
          <w:tcPr>
            <w:tcW w:w="835" w:type="dxa"/>
            <w:tcBorders>
              <w:top w:val="nil"/>
              <w:left w:val="nil"/>
              <w:bottom w:val="single" w:color="auto" w:sz="4" w:space="0"/>
              <w:right w:val="single" w:color="auto"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 xml:space="preserve">4.70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lang w:bidi="ar"/>
              </w:rPr>
              <w:t xml:space="preserve">0.00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4.70 </w:t>
            </w:r>
          </w:p>
        </w:tc>
        <w:tc>
          <w:tcPr>
            <w:tcW w:w="83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4.70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0"/>
                <w:szCs w:val="20"/>
                <w:lang w:bidi="ar"/>
              </w:rPr>
              <w:t xml:space="preserve">0.00 </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2955" w:type="dxa"/>
            <w:gridSpan w:val="2"/>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金额合计</w:t>
            </w: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 xml:space="preserve">139.59 </w:t>
            </w:r>
          </w:p>
        </w:tc>
        <w:tc>
          <w:tcPr>
            <w:tcW w:w="835" w:type="dxa"/>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pPr>
            <w:r>
              <w:rPr>
                <w:rFonts w:hint="eastAsia" w:ascii="宋体" w:hAnsi="宋体" w:eastAsia="宋体" w:cs="宋体"/>
                <w:color w:val="000000"/>
                <w:kern w:val="0"/>
                <w:sz w:val="24"/>
                <w:lang w:bidi="ar"/>
              </w:rPr>
              <w:t xml:space="preserve">139.59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 xml:space="preserve">0.00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 xml:space="preserve">139.59 </w:t>
            </w:r>
          </w:p>
        </w:tc>
        <w:tc>
          <w:tcPr>
            <w:tcW w:w="835"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 xml:space="preserve">139.59 </w:t>
            </w:r>
          </w:p>
        </w:tc>
        <w:tc>
          <w:tcPr>
            <w:tcW w:w="835" w:type="dxa"/>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 xml:space="preserve">0.00 </w:t>
            </w:r>
          </w:p>
        </w:tc>
      </w:tr>
      <w:tr>
        <w:tblPrEx>
          <w:tblCellMar>
            <w:top w:w="0" w:type="dxa"/>
            <w:left w:w="108" w:type="dxa"/>
            <w:bottom w:w="0" w:type="dxa"/>
            <w:right w:w="108" w:type="dxa"/>
          </w:tblCellMar>
        </w:tblPrEx>
        <w:trPr>
          <w:trHeight w:val="285" w:hRule="atLeast"/>
        </w:trPr>
        <w:tc>
          <w:tcPr>
            <w:tcW w:w="779"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年度总体目标</w:t>
            </w:r>
          </w:p>
        </w:tc>
        <w:tc>
          <w:tcPr>
            <w:tcW w:w="3790" w:type="dxa"/>
            <w:gridSpan w:val="3"/>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预期目标</w:t>
            </w:r>
          </w:p>
        </w:tc>
        <w:tc>
          <w:tcPr>
            <w:tcW w:w="4175" w:type="dxa"/>
            <w:gridSpan w:val="6"/>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lang w:bidi="ar"/>
              </w:rPr>
              <w:t>实际完成目标</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3790" w:type="dxa"/>
            <w:gridSpan w:val="3"/>
            <w:tcBorders>
              <w:top w:val="nil"/>
              <w:left w:val="single" w:color="auto" w:sz="4" w:space="0"/>
              <w:bottom w:val="single" w:color="auto" w:sz="4" w:space="0"/>
              <w:right w:val="single" w:color="auto" w:sz="4" w:space="0"/>
            </w:tcBorders>
            <w:vAlign w:val="center"/>
          </w:tcPr>
          <w:p>
            <w:pPr>
              <w:widowControl/>
              <w:jc w:val="left"/>
              <w:textAlignment w:val="center"/>
              <w:rPr>
                <w:rFonts w:ascii="宋体" w:hAnsi="宋体" w:eastAsia="宋体" w:cs="宋体"/>
                <w:kern w:val="0"/>
                <w:sz w:val="24"/>
              </w:rPr>
            </w:pPr>
            <w:r>
              <w:rPr>
                <w:rFonts w:hint="eastAsia" w:ascii="宋体" w:hAnsi="宋体" w:eastAsia="宋体" w:cs="宋体"/>
                <w:color w:val="000000"/>
                <w:kern w:val="0"/>
                <w:sz w:val="20"/>
                <w:szCs w:val="20"/>
                <w:lang w:bidi="ar"/>
              </w:rPr>
              <w:t>在今年收支预算内，确保完成以下整体目标：</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xml:space="preserve">    目标1：完成财政审计项目20个（包括“同级审”,财政专项资金审计,财务收支审计）。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目标2：完成县委审计委员会审定的领导干部经济责任审计（含领导干部自然资源资产离任（任中）审计项目2个）项目3个。</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xml:space="preserve">    目标3：完成县委、县政府交办及自行安排的审计项目。</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目标4：严格执法程序，依法审计、实事求是、客观公正，出具审计结论。</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目标5: 完成上级审计机关统一安排和组织的审计项目。</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目标6：加强审计信息化建设及日常维护。</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xml:space="preserve">　　目标7：加强审计培训，提高审计队伍素质。                                               </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目标8：积极开展审计宣传，扩大审计影响力。</w:t>
            </w:r>
          </w:p>
        </w:tc>
        <w:tc>
          <w:tcPr>
            <w:tcW w:w="4175" w:type="dxa"/>
            <w:gridSpan w:val="6"/>
            <w:tcBorders>
              <w:top w:val="nil"/>
              <w:left w:val="single" w:color="auto" w:sz="4" w:space="0"/>
              <w:bottom w:val="single" w:color="auto" w:sz="4" w:space="0"/>
              <w:right w:val="nil"/>
            </w:tcBorders>
            <w:shd w:val="clear" w:color="auto" w:fill="auto"/>
            <w:vAlign w:val="center"/>
          </w:tcPr>
          <w:p>
            <w:pPr>
              <w:widowControl/>
              <w:jc w:val="left"/>
              <w:textAlignment w:val="center"/>
              <w:rPr>
                <w:rFonts w:ascii="宋体" w:hAnsi="宋体" w:eastAsia="宋体" w:cs="宋体"/>
                <w:color w:val="000000"/>
                <w:kern w:val="0"/>
                <w:sz w:val="22"/>
                <w:szCs w:val="22"/>
              </w:rPr>
            </w:pPr>
            <w:r>
              <w:rPr>
                <w:rFonts w:hint="eastAsia" w:ascii="宋体" w:hAnsi="宋体" w:eastAsia="宋体" w:cs="宋体"/>
                <w:color w:val="000000"/>
                <w:kern w:val="0"/>
                <w:sz w:val="20"/>
                <w:szCs w:val="20"/>
                <w:lang w:bidi="ar"/>
              </w:rPr>
              <w:t>目标1：完成财政审计项目20个（包括“同级审”,财政专项资金审计,财务收支审计）。</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目标2：完成县委审计委员会审定的领导干部经济责任审计（含领导干部自然资源资产离任（任中）审计项目2个）项目3个。</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xml:space="preserve">    目标3：完成县委、县政府交办及自行安排的审计项目。</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目标4：严格执法程序，依法审计、实事求是、客观公正，出具审计结论。</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目标5: 完成上级审计机关统一安排和组织的审计项目。</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目标6：加强审计信息化建设及日常维护。</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xml:space="preserve">　　目标7：加强审计培训，提高审计队伍素质。                                               </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　　目标8：积极开展审计宣传，扩大审计影响力。</w:t>
            </w:r>
          </w:p>
        </w:tc>
      </w:tr>
      <w:tr>
        <w:tblPrEx>
          <w:tblCellMar>
            <w:top w:w="0" w:type="dxa"/>
            <w:left w:w="108" w:type="dxa"/>
            <w:bottom w:w="0" w:type="dxa"/>
            <w:right w:w="108" w:type="dxa"/>
          </w:tblCellMar>
        </w:tblPrEx>
        <w:trPr>
          <w:trHeight w:val="1464" w:hRule="atLeast"/>
        </w:trPr>
        <w:tc>
          <w:tcPr>
            <w:tcW w:w="779"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年度绩效指标</w:t>
            </w:r>
          </w:p>
        </w:tc>
        <w:tc>
          <w:tcPr>
            <w:tcW w:w="1187" w:type="dxa"/>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一级指标</w:t>
            </w:r>
          </w:p>
        </w:tc>
        <w:tc>
          <w:tcPr>
            <w:tcW w:w="1768" w:type="dxa"/>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二级指标</w:t>
            </w: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b/>
                <w:bCs/>
                <w:color w:val="000000"/>
                <w:kern w:val="0"/>
                <w:sz w:val="24"/>
                <w:lang w:bidi="ar"/>
              </w:rPr>
              <w:t>三级指标</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b/>
                <w:bCs/>
                <w:color w:val="000000"/>
                <w:kern w:val="0"/>
                <w:sz w:val="24"/>
                <w:lang w:bidi="ar"/>
              </w:rPr>
              <w:t>预期指标值（包含数字及文字描述）</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b/>
                <w:bCs/>
                <w:color w:val="000000"/>
                <w:kern w:val="0"/>
                <w:sz w:val="24"/>
                <w:lang w:bidi="ar"/>
              </w:rPr>
              <w:t>实际完成指标值（包含数字及文字描述）</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restart"/>
            <w:tcBorders>
              <w:top w:val="nil"/>
              <w:left w:val="single" w:color="auto" w:sz="4" w:space="0"/>
              <w:bottom w:val="single" w:color="auto" w:sz="4" w:space="0"/>
              <w:right w:val="single" w:color="auto"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产出指标</w:t>
            </w:r>
          </w:p>
        </w:tc>
        <w:tc>
          <w:tcPr>
            <w:tcW w:w="1768"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数量指标</w:t>
            </w: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保障在职人员人数</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 xml:space="preserve"> =16人</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 xml:space="preserve"> 16人</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68"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05" w:type="dxa"/>
            <w:gridSpan w:val="3"/>
            <w:tcBorders>
              <w:top w:val="nil"/>
              <w:left w:val="single" w:color="auto" w:sz="4" w:space="0"/>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退休人员数</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 xml:space="preserve"> =9人</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 xml:space="preserve"> 9人</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68"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ascii="宋体" w:hAnsi="宋体" w:eastAsia="宋体" w:cs="宋体"/>
                <w:kern w:val="0"/>
                <w:sz w:val="24"/>
              </w:rPr>
            </w:pP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培训开展次数</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≥2次</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2次</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68" w:type="dxa"/>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质量指标</w:t>
            </w: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工资及公用经费保障率</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 xml:space="preserve"> =100%</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100%</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68"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时效指标</w:t>
            </w:r>
          </w:p>
        </w:tc>
        <w:tc>
          <w:tcPr>
            <w:tcW w:w="2505" w:type="dxa"/>
            <w:gridSpan w:val="3"/>
            <w:tcBorders>
              <w:top w:val="nil"/>
              <w:left w:val="single" w:color="auto" w:sz="4" w:space="0"/>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培训按期完成率</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 xml:space="preserve"> =100%</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100%</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76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资金发放及时性</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&gt;=90%</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90%</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kern w:val="0"/>
                <w:sz w:val="24"/>
              </w:rPr>
            </w:pPr>
          </w:p>
        </w:tc>
        <w:tc>
          <w:tcPr>
            <w:tcW w:w="1768"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成本指标</w:t>
            </w: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保障人员人均支出标准</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≤10.38万元</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10.38万元</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1768"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ascii="宋体" w:hAnsi="宋体" w:eastAsia="宋体" w:cs="宋体"/>
                <w:kern w:val="0"/>
                <w:sz w:val="24"/>
              </w:rPr>
            </w:pP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人均运转经费</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≤0.37万元</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0.37万元</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restart"/>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1768"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社会效益指标</w:t>
            </w:r>
          </w:p>
        </w:tc>
        <w:tc>
          <w:tcPr>
            <w:tcW w:w="2505" w:type="dxa"/>
            <w:gridSpan w:val="3"/>
            <w:tcBorders>
              <w:top w:val="nil"/>
              <w:left w:val="single" w:color="auto" w:sz="4" w:space="0"/>
              <w:bottom w:val="single" w:color="auto" w:sz="4" w:space="0"/>
              <w:right w:val="nil"/>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 xml:space="preserve">促进被审计单位廉政建设 </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有效促进</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有效促进</w:t>
            </w:r>
          </w:p>
        </w:tc>
      </w:tr>
      <w:tr>
        <w:tblPrEx>
          <w:tblCellMar>
            <w:top w:w="0" w:type="dxa"/>
            <w:left w:w="108" w:type="dxa"/>
            <w:bottom w:w="0" w:type="dxa"/>
            <w:right w:w="108" w:type="dxa"/>
          </w:tblCellMar>
        </w:tblPrEx>
        <w:trPr>
          <w:trHeight w:val="285" w:hRule="atLeast"/>
        </w:trPr>
        <w:tc>
          <w:tcPr>
            <w:tcW w:w="779" w:type="dxa"/>
            <w:vMerge w:val="continue"/>
            <w:tcBorders>
              <w:top w:val="nil"/>
              <w:left w:val="single" w:color="auto" w:sz="4" w:space="0"/>
              <w:bottom w:val="single" w:color="auto" w:sz="4" w:space="0"/>
              <w:right w:val="single" w:color="auto" w:sz="4" w:space="0"/>
            </w:tcBorders>
            <w:vAlign w:val="center"/>
          </w:tcPr>
          <w:p>
            <w:pPr>
              <w:jc w:val="center"/>
              <w:rPr>
                <w:rFonts w:ascii="宋体" w:hAnsi="宋体" w:eastAsia="宋体" w:cs="宋体"/>
                <w:kern w:val="0"/>
                <w:sz w:val="24"/>
              </w:rPr>
            </w:pPr>
          </w:p>
        </w:tc>
        <w:tc>
          <w:tcPr>
            <w:tcW w:w="1187" w:type="dxa"/>
            <w:vMerge w:val="continue"/>
            <w:tcBorders>
              <w:top w:val="nil"/>
              <w:left w:val="single" w:color="auto" w:sz="4" w:space="0"/>
              <w:bottom w:val="single" w:color="000000" w:sz="4" w:space="0"/>
              <w:right w:val="single" w:color="auto" w:sz="4" w:space="0"/>
            </w:tcBorders>
            <w:vAlign w:val="center"/>
          </w:tcPr>
          <w:p>
            <w:pPr>
              <w:jc w:val="center"/>
              <w:rPr>
                <w:rFonts w:ascii="宋体" w:hAnsi="宋体" w:eastAsia="宋体" w:cs="宋体"/>
                <w:kern w:val="0"/>
                <w:sz w:val="24"/>
              </w:rPr>
            </w:pPr>
          </w:p>
        </w:tc>
        <w:tc>
          <w:tcPr>
            <w:tcW w:w="1768" w:type="dxa"/>
            <w:vMerge w:val="continue"/>
            <w:tcBorders>
              <w:top w:val="single" w:color="auto" w:sz="4" w:space="0"/>
              <w:left w:val="nil"/>
              <w:bottom w:val="single" w:color="auto" w:sz="4" w:space="0"/>
              <w:right w:val="single" w:color="000000" w:sz="4" w:space="0"/>
            </w:tcBorders>
            <w:shd w:val="clear" w:color="auto" w:fill="auto"/>
            <w:vAlign w:val="center"/>
          </w:tcPr>
          <w:p>
            <w:pPr>
              <w:jc w:val="center"/>
              <w:rPr>
                <w:rFonts w:ascii="宋体" w:hAnsi="宋体" w:eastAsia="宋体" w:cs="宋体"/>
                <w:kern w:val="0"/>
                <w:sz w:val="24"/>
              </w:rPr>
            </w:pPr>
          </w:p>
        </w:tc>
        <w:tc>
          <w:tcPr>
            <w:tcW w:w="250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textAlignment w:val="center"/>
              <w:rPr>
                <w:rFonts w:ascii="宋体" w:hAnsi="宋体" w:eastAsia="宋体" w:cs="宋体"/>
                <w:kern w:val="0"/>
                <w:sz w:val="24"/>
              </w:rPr>
            </w:pPr>
            <w:r>
              <w:rPr>
                <w:rFonts w:hint="eastAsia" w:ascii="宋体" w:hAnsi="宋体" w:eastAsia="宋体" w:cs="宋体"/>
                <w:color w:val="000000"/>
                <w:kern w:val="0"/>
                <w:sz w:val="24"/>
                <w:lang w:bidi="ar"/>
              </w:rPr>
              <w:t>促进部门改进工作作风</w:t>
            </w:r>
          </w:p>
        </w:tc>
        <w:tc>
          <w:tcPr>
            <w:tcW w:w="1252"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rPr>
                <w:rFonts w:ascii="宋体" w:hAnsi="宋体" w:eastAsia="宋体" w:cs="宋体"/>
                <w:color w:val="000000"/>
                <w:kern w:val="0"/>
                <w:sz w:val="22"/>
                <w:szCs w:val="22"/>
              </w:rPr>
            </w:pPr>
            <w:r>
              <w:rPr>
                <w:rFonts w:hint="eastAsia" w:ascii="宋体" w:hAnsi="宋体" w:eastAsia="宋体" w:cs="宋体"/>
                <w:color w:val="000000"/>
                <w:kern w:val="0"/>
                <w:sz w:val="24"/>
                <w:lang w:bidi="ar"/>
              </w:rPr>
              <w:t>逐步提升</w:t>
            </w:r>
          </w:p>
        </w:tc>
        <w:tc>
          <w:tcPr>
            <w:tcW w:w="1253" w:type="dxa"/>
            <w:gridSpan w:val="2"/>
            <w:tcBorders>
              <w:top w:val="single" w:color="auto" w:sz="4" w:space="0"/>
              <w:left w:val="nil"/>
              <w:bottom w:val="single" w:color="auto" w:sz="4" w:space="0"/>
              <w:right w:val="single" w:color="000000" w:sz="4" w:space="0"/>
            </w:tcBorders>
            <w:shd w:val="clear" w:color="auto" w:fill="auto"/>
            <w:noWrap/>
            <w:vAlign w:val="center"/>
          </w:tcPr>
          <w:p>
            <w:pPr>
              <w:widowControl/>
              <w:jc w:val="center"/>
              <w:textAlignment w:val="center"/>
            </w:pPr>
            <w:r>
              <w:rPr>
                <w:rFonts w:hint="eastAsia" w:ascii="宋体" w:hAnsi="宋体" w:eastAsia="宋体" w:cs="宋体"/>
                <w:color w:val="000000"/>
                <w:kern w:val="0"/>
                <w:sz w:val="24"/>
                <w:lang w:bidi="ar"/>
              </w:rPr>
              <w:t>逐步提升</w:t>
            </w:r>
          </w:p>
        </w:tc>
      </w:tr>
    </w:tbl>
    <w:p>
      <w:pPr>
        <w:rPr>
          <w:rFonts w:ascii="仿宋" w:hAnsi="仿宋" w:eastAsia="仿宋" w:cs="宋体"/>
          <w:color w:val="333333"/>
          <w:sz w:val="32"/>
          <w:szCs w:val="32"/>
          <w:lang w:bidi="ar"/>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7"/>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25 -</w:t>
        </w:r>
        <w:r>
          <w:rPr>
            <w:rFonts w:asciiTheme="minorEastAsia" w:hAnsiTheme="minorEastAsia"/>
            <w:sz w:val="28"/>
            <w:szCs w:val="28"/>
          </w:rP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496DF"/>
    <w:multiLevelType w:val="singleLevel"/>
    <w:tmpl w:val="974496DF"/>
    <w:lvl w:ilvl="0" w:tentative="0">
      <w:start w:val="7"/>
      <w:numFmt w:val="chineseCounting"/>
      <w:suff w:val="nothing"/>
      <w:lvlText w:val="%1、"/>
      <w:lvlJc w:val="left"/>
      <w:rPr>
        <w:rFonts w:hint="eastAsia"/>
      </w:rPr>
    </w:lvl>
  </w:abstractNum>
  <w:abstractNum w:abstractNumId="1">
    <w:nsid w:val="9E7A9882"/>
    <w:multiLevelType w:val="singleLevel"/>
    <w:tmpl w:val="9E7A9882"/>
    <w:lvl w:ilvl="0" w:tentative="0">
      <w:start w:val="1"/>
      <w:numFmt w:val="decimal"/>
      <w:suff w:val="nothing"/>
      <w:lvlText w:val="（%1）"/>
      <w:lvlJc w:val="left"/>
    </w:lvl>
  </w:abstractNum>
  <w:abstractNum w:abstractNumId="2">
    <w:nsid w:val="DCBF592A"/>
    <w:multiLevelType w:val="singleLevel"/>
    <w:tmpl w:val="DCBF592A"/>
    <w:lvl w:ilvl="0" w:tentative="0">
      <w:start w:val="3"/>
      <w:numFmt w:val="chineseCounting"/>
      <w:suff w:val="nothing"/>
      <w:lvlText w:val="（%1）"/>
      <w:lvlJc w:val="left"/>
      <w:rPr>
        <w:rFonts w:hint="eastAsia"/>
      </w:rPr>
    </w:lvl>
  </w:abstractNum>
  <w:abstractNum w:abstractNumId="3">
    <w:nsid w:val="E41F1B0A"/>
    <w:multiLevelType w:val="singleLevel"/>
    <w:tmpl w:val="E41F1B0A"/>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633862"/>
    <w:rsid w:val="00025A44"/>
    <w:rsid w:val="00072084"/>
    <w:rsid w:val="0009422A"/>
    <w:rsid w:val="000B6B13"/>
    <w:rsid w:val="000D1DEE"/>
    <w:rsid w:val="000D3AFA"/>
    <w:rsid w:val="00105D60"/>
    <w:rsid w:val="001121F2"/>
    <w:rsid w:val="00112859"/>
    <w:rsid w:val="001173EB"/>
    <w:rsid w:val="00150C4C"/>
    <w:rsid w:val="00191BA3"/>
    <w:rsid w:val="001A2299"/>
    <w:rsid w:val="001A3A0E"/>
    <w:rsid w:val="001F630E"/>
    <w:rsid w:val="0022744B"/>
    <w:rsid w:val="00234372"/>
    <w:rsid w:val="00234B37"/>
    <w:rsid w:val="00246941"/>
    <w:rsid w:val="0026656D"/>
    <w:rsid w:val="002764C7"/>
    <w:rsid w:val="002D075E"/>
    <w:rsid w:val="00303A08"/>
    <w:rsid w:val="003226C4"/>
    <w:rsid w:val="003E3DEF"/>
    <w:rsid w:val="003E7C70"/>
    <w:rsid w:val="00415F3F"/>
    <w:rsid w:val="0049337C"/>
    <w:rsid w:val="004C4C4D"/>
    <w:rsid w:val="004C6FF3"/>
    <w:rsid w:val="004E69F5"/>
    <w:rsid w:val="004E7AAC"/>
    <w:rsid w:val="00531A31"/>
    <w:rsid w:val="00533C6C"/>
    <w:rsid w:val="00593943"/>
    <w:rsid w:val="005A08A8"/>
    <w:rsid w:val="005B1250"/>
    <w:rsid w:val="005C33CE"/>
    <w:rsid w:val="006225D7"/>
    <w:rsid w:val="00633862"/>
    <w:rsid w:val="006379B7"/>
    <w:rsid w:val="006413B6"/>
    <w:rsid w:val="006910A7"/>
    <w:rsid w:val="00691310"/>
    <w:rsid w:val="006A7181"/>
    <w:rsid w:val="006C5BED"/>
    <w:rsid w:val="006C6297"/>
    <w:rsid w:val="006D3947"/>
    <w:rsid w:val="00702D4A"/>
    <w:rsid w:val="007115C8"/>
    <w:rsid w:val="00713ADC"/>
    <w:rsid w:val="00725B9A"/>
    <w:rsid w:val="00754721"/>
    <w:rsid w:val="007713F8"/>
    <w:rsid w:val="007A7491"/>
    <w:rsid w:val="007A7874"/>
    <w:rsid w:val="00800784"/>
    <w:rsid w:val="00817432"/>
    <w:rsid w:val="008614D8"/>
    <w:rsid w:val="00875327"/>
    <w:rsid w:val="00886879"/>
    <w:rsid w:val="00890FC2"/>
    <w:rsid w:val="008E3F8A"/>
    <w:rsid w:val="00923468"/>
    <w:rsid w:val="00952782"/>
    <w:rsid w:val="0095580D"/>
    <w:rsid w:val="0097614B"/>
    <w:rsid w:val="00992D45"/>
    <w:rsid w:val="009A1625"/>
    <w:rsid w:val="009E5FF8"/>
    <w:rsid w:val="009F06F4"/>
    <w:rsid w:val="00A05135"/>
    <w:rsid w:val="00A43D21"/>
    <w:rsid w:val="00A55238"/>
    <w:rsid w:val="00AA5126"/>
    <w:rsid w:val="00AC4471"/>
    <w:rsid w:val="00AD16CD"/>
    <w:rsid w:val="00AE37FD"/>
    <w:rsid w:val="00AF42EB"/>
    <w:rsid w:val="00B130FE"/>
    <w:rsid w:val="00B34A48"/>
    <w:rsid w:val="00B407C3"/>
    <w:rsid w:val="00B666A1"/>
    <w:rsid w:val="00BA1454"/>
    <w:rsid w:val="00BB1174"/>
    <w:rsid w:val="00C16CDB"/>
    <w:rsid w:val="00C30338"/>
    <w:rsid w:val="00C42609"/>
    <w:rsid w:val="00C4673D"/>
    <w:rsid w:val="00C76454"/>
    <w:rsid w:val="00C81F75"/>
    <w:rsid w:val="00CB1C9D"/>
    <w:rsid w:val="00CC7606"/>
    <w:rsid w:val="00CD2F35"/>
    <w:rsid w:val="00CE16E7"/>
    <w:rsid w:val="00CE61DB"/>
    <w:rsid w:val="00D050BF"/>
    <w:rsid w:val="00D26F3D"/>
    <w:rsid w:val="00D278CF"/>
    <w:rsid w:val="00D72F70"/>
    <w:rsid w:val="00D77626"/>
    <w:rsid w:val="00D81EE2"/>
    <w:rsid w:val="00DA67B8"/>
    <w:rsid w:val="00DB1085"/>
    <w:rsid w:val="00DD223C"/>
    <w:rsid w:val="00E213C7"/>
    <w:rsid w:val="00E41A31"/>
    <w:rsid w:val="00E7188B"/>
    <w:rsid w:val="00F006BD"/>
    <w:rsid w:val="00F17550"/>
    <w:rsid w:val="00F27120"/>
    <w:rsid w:val="00F341E0"/>
    <w:rsid w:val="00F36401"/>
    <w:rsid w:val="00F42445"/>
    <w:rsid w:val="00F44FCC"/>
    <w:rsid w:val="00F74974"/>
    <w:rsid w:val="00F829DE"/>
    <w:rsid w:val="00F8410A"/>
    <w:rsid w:val="00F84215"/>
    <w:rsid w:val="00F91CBB"/>
    <w:rsid w:val="06F42DD7"/>
    <w:rsid w:val="0E9A5E97"/>
    <w:rsid w:val="1084494B"/>
    <w:rsid w:val="147C2951"/>
    <w:rsid w:val="1EB60E4D"/>
    <w:rsid w:val="282560C0"/>
    <w:rsid w:val="2D696B9D"/>
    <w:rsid w:val="2EB57DBB"/>
    <w:rsid w:val="45AA72EF"/>
    <w:rsid w:val="723810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toc 3"/>
    <w:basedOn w:val="1"/>
    <w:next w:val="1"/>
    <w:unhideWhenUsed/>
    <w:qFormat/>
    <w:uiPriority w:val="39"/>
    <w:pPr>
      <w:ind w:left="840" w:leftChars="40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4"/>
    <w:basedOn w:val="1"/>
    <w:next w:val="1"/>
    <w:unhideWhenUsed/>
    <w:uiPriority w:val="39"/>
    <w:pPr>
      <w:ind w:left="1260" w:leftChars="600"/>
    </w:pPr>
  </w:style>
  <w:style w:type="paragraph" w:styleId="10">
    <w:name w:val="Subtitle"/>
    <w:basedOn w:val="1"/>
    <w:next w:val="1"/>
    <w:link w:val="23"/>
    <w:qFormat/>
    <w:uiPriority w:val="11"/>
    <w:pPr>
      <w:spacing w:before="240" w:after="60" w:line="312" w:lineRule="auto"/>
      <w:jc w:val="center"/>
      <w:outlineLvl w:val="1"/>
    </w:pPr>
    <w:rPr>
      <w:b/>
      <w:bCs/>
      <w:kern w:val="28"/>
      <w:sz w:val="32"/>
      <w:szCs w:val="32"/>
    </w:rPr>
  </w:style>
  <w:style w:type="paragraph" w:styleId="11">
    <w:name w:val="toc 2"/>
    <w:basedOn w:val="1"/>
    <w:next w:val="1"/>
    <w:unhideWhenUsed/>
    <w:qFormat/>
    <w:uiPriority w:val="39"/>
    <w:pPr>
      <w:ind w:left="420" w:leftChars="200"/>
    </w:pPr>
  </w:style>
  <w:style w:type="paragraph" w:styleId="12">
    <w:name w:val="Normal (Web)"/>
    <w:basedOn w:val="1"/>
    <w:qFormat/>
    <w:uiPriority w:val="99"/>
    <w:pPr>
      <w:spacing w:before="100" w:beforeAutospacing="1" w:after="100" w:afterAutospacing="1"/>
      <w:jc w:val="left"/>
    </w:pPr>
    <w:rPr>
      <w:rFonts w:cs="Times New Roman"/>
      <w:sz w:val="24"/>
    </w:rPr>
  </w:style>
  <w:style w:type="paragraph" w:styleId="13">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6">
    <w:name w:val="Strong"/>
    <w:basedOn w:val="15"/>
    <w:qFormat/>
    <w:uiPriority w:val="0"/>
    <w:rPr>
      <w:b/>
      <w:bCs/>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页眉 字符"/>
    <w:basedOn w:val="15"/>
    <w:link w:val="8"/>
    <w:qFormat/>
    <w:uiPriority w:val="99"/>
    <w:rPr>
      <w:sz w:val="18"/>
      <w:szCs w:val="18"/>
    </w:rPr>
  </w:style>
  <w:style w:type="character" w:customStyle="1" w:styleId="19">
    <w:name w:val="页脚 字符"/>
    <w:basedOn w:val="15"/>
    <w:link w:val="7"/>
    <w:qFormat/>
    <w:uiPriority w:val="99"/>
    <w:rPr>
      <w:sz w:val="18"/>
      <w:szCs w:val="18"/>
    </w:rPr>
  </w:style>
  <w:style w:type="paragraph" w:styleId="20">
    <w:name w:val="List Paragraph"/>
    <w:basedOn w:val="1"/>
    <w:unhideWhenUsed/>
    <w:qFormat/>
    <w:uiPriority w:val="99"/>
    <w:pPr>
      <w:ind w:firstLine="420" w:firstLineChars="200"/>
    </w:pPr>
  </w:style>
  <w:style w:type="character" w:customStyle="1" w:styleId="21">
    <w:name w:val="标题 字符"/>
    <w:basedOn w:val="15"/>
    <w:link w:val="13"/>
    <w:qFormat/>
    <w:uiPriority w:val="10"/>
    <w:rPr>
      <w:rFonts w:asciiTheme="majorHAnsi" w:hAnsiTheme="majorHAnsi" w:eastAsiaTheme="majorEastAsia" w:cstheme="majorBidi"/>
      <w:b/>
      <w:bCs/>
      <w:sz w:val="32"/>
      <w:szCs w:val="32"/>
    </w:rPr>
  </w:style>
  <w:style w:type="character" w:customStyle="1" w:styleId="22">
    <w:name w:val="标题 2 字符"/>
    <w:basedOn w:val="15"/>
    <w:link w:val="3"/>
    <w:qFormat/>
    <w:uiPriority w:val="9"/>
    <w:rPr>
      <w:rFonts w:asciiTheme="majorHAnsi" w:hAnsiTheme="majorHAnsi" w:eastAsiaTheme="majorEastAsia" w:cstheme="majorBidi"/>
      <w:b/>
      <w:bCs/>
      <w:sz w:val="32"/>
      <w:szCs w:val="32"/>
    </w:rPr>
  </w:style>
  <w:style w:type="character" w:customStyle="1" w:styleId="23">
    <w:name w:val="副标题 字符"/>
    <w:basedOn w:val="15"/>
    <w:link w:val="10"/>
    <w:qFormat/>
    <w:uiPriority w:val="11"/>
    <w:rPr>
      <w:b/>
      <w:bCs/>
      <w:kern w:val="28"/>
      <w:sz w:val="32"/>
      <w:szCs w:val="32"/>
    </w:rPr>
  </w:style>
  <w:style w:type="character" w:customStyle="1" w:styleId="24">
    <w:name w:val="标题 3 字符"/>
    <w:basedOn w:val="15"/>
    <w:link w:val="4"/>
    <w:qFormat/>
    <w:uiPriority w:val="9"/>
    <w:rPr>
      <w:b/>
      <w:bCs/>
      <w:sz w:val="32"/>
      <w:szCs w:val="32"/>
    </w:rPr>
  </w:style>
  <w:style w:type="character" w:styleId="25">
    <w:name w:val="Placeholder Text"/>
    <w:basedOn w:val="15"/>
    <w:semiHidden/>
    <w:qFormat/>
    <w:uiPriority w:val="99"/>
    <w:rPr>
      <w:color w:val="808080"/>
    </w:rPr>
  </w:style>
  <w:style w:type="character" w:customStyle="1" w:styleId="26">
    <w:name w:val="标题 1 字符"/>
    <w:basedOn w:val="15"/>
    <w:link w:val="2"/>
    <w:qFormat/>
    <w:uiPriority w:val="9"/>
    <w:rPr>
      <w:b/>
      <w:bCs/>
      <w:kern w:val="44"/>
      <w:sz w:val="44"/>
      <w:szCs w:val="44"/>
    </w:rPr>
  </w:style>
  <w:style w:type="paragraph" w:customStyle="1" w:styleId="2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8">
    <w:name w:val="标题 4 字符"/>
    <w:basedOn w:val="15"/>
    <w:link w:val="5"/>
    <w:qFormat/>
    <w:uiPriority w:val="9"/>
    <w:rPr>
      <w:rFonts w:asciiTheme="majorHAnsi" w:hAnsiTheme="majorHAnsi" w:eastAsiaTheme="majorEastAsia" w:cstheme="majorBidi"/>
      <w:b/>
      <w:bCs/>
      <w:sz w:val="28"/>
      <w:szCs w:val="28"/>
    </w:rPr>
  </w:style>
  <w:style w:type="paragraph" w:customStyle="1" w:styleId="29">
    <w:name w:val="闻政-正文段落文字"/>
    <w:basedOn w:val="1"/>
    <w:qFormat/>
    <w:uiPriority w:val="3"/>
    <w:pPr>
      <w:spacing w:line="500" w:lineRule="exact"/>
      <w:ind w:firstLine="200"/>
    </w:pPr>
    <w:rPr>
      <w:rFonts w:ascii="Times New Roman" w:hAnsi="Times New Roman" w:cs="Times New Roman"/>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84F0B-0206-47D6-B558-695C9B4C767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6904</Words>
  <Characters>7382</Characters>
  <Lines>8</Lines>
  <Paragraphs>15</Paragraphs>
  <TotalTime>2</TotalTime>
  <ScaleCrop>false</ScaleCrop>
  <LinksUpToDate>false</LinksUpToDate>
  <CharactersWithSpaces>7567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2021-04-27T13:06:00Z</dcterms:created>
  <dc:creator>jc</dc:creator>
  <cp:lastModifiedBy>123</cp:lastModifiedBy>
  <dcterms:modified xsi:type="dcterms:W3CDTF">2022-05-25T10:05:19Z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C0942DF3AD9B42AC8A2C4E68060463C7</vt:lpwstr>
  </property>
</Properties>
</file>